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7117" w14:textId="4F4CA997" w:rsidR="002A2053" w:rsidRPr="002A2053" w:rsidRDefault="002A2053" w:rsidP="00281103">
      <w:pPr>
        <w:jc w:val="center"/>
      </w:pPr>
      <w:r w:rsidRPr="002A2053">
        <w:rPr>
          <w:b/>
          <w:noProof/>
        </w:rPr>
        <w:drawing>
          <wp:inline distT="0" distB="0" distL="0" distR="0" wp14:anchorId="2516FA53" wp14:editId="7D8E0D60">
            <wp:extent cx="542290" cy="694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828A" w14:textId="77777777" w:rsidR="002A2053" w:rsidRPr="002A2053" w:rsidRDefault="002A2053" w:rsidP="00281103">
      <w:pPr>
        <w:jc w:val="center"/>
        <w:rPr>
          <w:b/>
        </w:rPr>
      </w:pPr>
    </w:p>
    <w:p w14:paraId="19CBA128" w14:textId="77777777" w:rsidR="002A2053" w:rsidRPr="008235FC" w:rsidRDefault="002A2053" w:rsidP="00281103">
      <w:pPr>
        <w:jc w:val="center"/>
        <w:rPr>
          <w:b/>
        </w:rPr>
      </w:pPr>
      <w:r w:rsidRPr="008235FC">
        <w:rPr>
          <w:b/>
        </w:rPr>
        <w:t>ROKI</w:t>
      </w:r>
      <w:r w:rsidRPr="002A2053">
        <w:rPr>
          <w:b/>
        </w:rPr>
        <w:t>Š</w:t>
      </w:r>
      <w:r w:rsidRPr="008235FC">
        <w:rPr>
          <w:b/>
        </w:rPr>
        <w:t>KIO RAJONO SAVIVALDYBĖS TARYBA</w:t>
      </w:r>
    </w:p>
    <w:p w14:paraId="33F237C6" w14:textId="77777777" w:rsidR="002A2053" w:rsidRPr="008235FC" w:rsidRDefault="002A2053" w:rsidP="00281103">
      <w:pPr>
        <w:jc w:val="center"/>
        <w:rPr>
          <w:b/>
        </w:rPr>
      </w:pPr>
    </w:p>
    <w:p w14:paraId="6E528244" w14:textId="77777777" w:rsidR="002A2053" w:rsidRPr="008235FC" w:rsidRDefault="002A2053" w:rsidP="00281103">
      <w:pPr>
        <w:jc w:val="center"/>
        <w:rPr>
          <w:b/>
        </w:rPr>
      </w:pPr>
      <w:r w:rsidRPr="008235FC">
        <w:rPr>
          <w:b/>
        </w:rPr>
        <w:t>SPRENDIMAS</w:t>
      </w:r>
    </w:p>
    <w:p w14:paraId="36B812EE" w14:textId="2A2370A6" w:rsidR="007251B8" w:rsidRDefault="00654349" w:rsidP="0028110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 xml:space="preserve">DĖL </w:t>
      </w:r>
      <w:r w:rsidR="007251B8">
        <w:rPr>
          <w:b/>
          <w:szCs w:val="20"/>
        </w:rPr>
        <w:t>DIDŽIAUSIO LEISTINO</w:t>
      </w:r>
      <w:r w:rsidR="00F2236F" w:rsidRPr="00F2236F">
        <w:rPr>
          <w:lang w:eastAsia="en-US"/>
        </w:rPr>
        <w:t xml:space="preserve"> </w:t>
      </w:r>
      <w:r w:rsidR="00F2236F" w:rsidRPr="00F2236F">
        <w:rPr>
          <w:b/>
          <w:lang w:eastAsia="en-US"/>
        </w:rPr>
        <w:t>VALSTYBĖS TARNAUTOJŲ IR DARBUOTOJŲ, DIRBANČIŲ PAGAL DARBO SUTARTIS,</w:t>
      </w:r>
      <w:r w:rsidR="007251B8">
        <w:rPr>
          <w:b/>
          <w:szCs w:val="20"/>
        </w:rPr>
        <w:t xml:space="preserve"> PAREIGYBIŲ SKAIČIAUS</w:t>
      </w:r>
      <w:r w:rsidR="007251B8">
        <w:rPr>
          <w:b/>
        </w:rPr>
        <w:t xml:space="preserve"> PATVIRTINIMO ROKIŠKIO RAJONO SAVIVALDYBĖS BIUDŽETINĖSE ĮSTAIGOSE</w:t>
      </w:r>
    </w:p>
    <w:p w14:paraId="484EA364" w14:textId="77777777" w:rsidR="00251760" w:rsidRPr="002A2053" w:rsidRDefault="00251760" w:rsidP="00281103">
      <w:pPr>
        <w:jc w:val="center"/>
        <w:rPr>
          <w:b/>
        </w:rPr>
      </w:pPr>
    </w:p>
    <w:p w14:paraId="3E101BCF" w14:textId="074EBFF3" w:rsidR="002A2053" w:rsidRPr="002A2053" w:rsidRDefault="002A2053" w:rsidP="00281103">
      <w:pPr>
        <w:tabs>
          <w:tab w:val="center" w:pos="4790"/>
          <w:tab w:val="left" w:pos="7846"/>
        </w:tabs>
        <w:jc w:val="center"/>
      </w:pPr>
      <w:r w:rsidRPr="002A2053">
        <w:t>202</w:t>
      </w:r>
      <w:r w:rsidR="00DE0B3D">
        <w:t>3</w:t>
      </w:r>
      <w:r w:rsidRPr="002A2053">
        <w:t xml:space="preserve"> m</w:t>
      </w:r>
      <w:r w:rsidR="00711E10">
        <w:t xml:space="preserve">. </w:t>
      </w:r>
      <w:r w:rsidR="008235FC">
        <w:t xml:space="preserve">rugsėjo </w:t>
      </w:r>
      <w:r w:rsidR="006E08F7">
        <w:t>2</w:t>
      </w:r>
      <w:r w:rsidR="00F54DED">
        <w:t>8</w:t>
      </w:r>
      <w:r w:rsidR="006E08F7">
        <w:t xml:space="preserve"> </w:t>
      </w:r>
      <w:r w:rsidR="00DE0B3D">
        <w:t>d. Nr. TS-</w:t>
      </w:r>
    </w:p>
    <w:p w14:paraId="0B07AD84" w14:textId="77777777" w:rsidR="002A2053" w:rsidRPr="002A2053" w:rsidRDefault="002A2053" w:rsidP="00281103">
      <w:pPr>
        <w:jc w:val="center"/>
      </w:pPr>
      <w:r w:rsidRPr="002A2053">
        <w:t>Rokiškis</w:t>
      </w:r>
    </w:p>
    <w:p w14:paraId="40986836" w14:textId="77777777" w:rsidR="002A2053" w:rsidRPr="002A2053" w:rsidRDefault="002A2053" w:rsidP="00281103">
      <w:pPr>
        <w:jc w:val="center"/>
      </w:pPr>
    </w:p>
    <w:p w14:paraId="31E2AF7E" w14:textId="77777777" w:rsidR="002A2053" w:rsidRPr="002A2053" w:rsidRDefault="002A2053" w:rsidP="001621C6"/>
    <w:p w14:paraId="1E0D1CA0" w14:textId="3E1A2615" w:rsidR="00B615CF" w:rsidRDefault="002A2053" w:rsidP="00360AA3">
      <w:pPr>
        <w:ind w:firstLine="851"/>
        <w:jc w:val="both"/>
      </w:pPr>
      <w:r w:rsidRPr="002A2053">
        <w:t>Vadovaudamasi Lietuvos Respubli</w:t>
      </w:r>
      <w:r w:rsidR="00A559DB">
        <w:t>kos vietos savivaldos įstatymo 15 straipsnio 2</w:t>
      </w:r>
      <w:r w:rsidRPr="002A2053">
        <w:t xml:space="preserve"> dali</w:t>
      </w:r>
      <w:r w:rsidR="00A559DB">
        <w:t>es 9 punktu ir atsižvelgdama į Rokiškio rajono savivaldybės mero teikimą</w:t>
      </w:r>
      <w:r w:rsidR="002C3B2B">
        <w:rPr>
          <w:color w:val="FF0000"/>
        </w:rPr>
        <w:t xml:space="preserve"> </w:t>
      </w:r>
      <w:r w:rsidR="00544C09" w:rsidRPr="00544C09">
        <w:t xml:space="preserve">2023 m. </w:t>
      </w:r>
      <w:r w:rsidR="007C3A18">
        <w:t xml:space="preserve">rugsėjo 19 </w:t>
      </w:r>
      <w:r w:rsidR="00544C09" w:rsidRPr="00544C09">
        <w:t>d.</w:t>
      </w:r>
      <w:r w:rsidR="002C3B2B" w:rsidRPr="00544C09">
        <w:t xml:space="preserve"> Nr.</w:t>
      </w:r>
      <w:r w:rsidR="00422F58" w:rsidRPr="00544C09">
        <w:t xml:space="preserve"> </w:t>
      </w:r>
      <w:r w:rsidR="00544C09" w:rsidRPr="00544C09">
        <w:t>MV-</w:t>
      </w:r>
      <w:r w:rsidR="007C3A18">
        <w:t>353</w:t>
      </w:r>
      <w:r w:rsidRPr="002A2053">
        <w:t xml:space="preserve">, Rokiškio rajono savivaldybės taryba </w:t>
      </w:r>
      <w:r w:rsidRPr="00AB1C61">
        <w:rPr>
          <w:spacing w:val="28"/>
        </w:rPr>
        <w:t>nusprendžia</w:t>
      </w:r>
      <w:r w:rsidRPr="002A2053">
        <w:t>:</w:t>
      </w:r>
    </w:p>
    <w:p w14:paraId="2A49D576" w14:textId="77777777" w:rsidR="00B918C8" w:rsidRDefault="00D97CE9" w:rsidP="00360AA3">
      <w:pPr>
        <w:ind w:firstLine="851"/>
        <w:jc w:val="both"/>
      </w:pPr>
      <w:r>
        <w:t>1.</w:t>
      </w:r>
      <w:r w:rsidR="00D44323">
        <w:t xml:space="preserve">Patvirtinti didžiausią leistiną </w:t>
      </w:r>
      <w:r w:rsidR="00D44323" w:rsidRPr="00D44323">
        <w:rPr>
          <w:lang w:eastAsia="en-US"/>
        </w:rPr>
        <w:t>valstybės tarnautojų ir darbuotojų, dirbančių pagal dar</w:t>
      </w:r>
      <w:r w:rsidR="00D44323">
        <w:rPr>
          <w:lang w:eastAsia="en-US"/>
        </w:rPr>
        <w:t>bo sutartis, pareigybių skaičių</w:t>
      </w:r>
      <w:r w:rsidR="00D44323" w:rsidRPr="00D44323">
        <w:rPr>
          <w:lang w:eastAsia="en-US"/>
        </w:rPr>
        <w:t xml:space="preserve"> savivaldybės biudžetinėse įstaigose</w:t>
      </w:r>
      <w:r w:rsidR="00D44323">
        <w:rPr>
          <w:lang w:eastAsia="en-US"/>
        </w:rPr>
        <w:t xml:space="preserve"> (pridedama).</w:t>
      </w:r>
    </w:p>
    <w:p w14:paraId="0D14A473" w14:textId="61DB0489" w:rsidR="008235FC" w:rsidRPr="00B918C8" w:rsidRDefault="008235FC" w:rsidP="00360AA3">
      <w:pPr>
        <w:ind w:firstLine="851"/>
        <w:jc w:val="both"/>
      </w:pPr>
      <w:r>
        <w:t>2</w:t>
      </w:r>
      <w:r w:rsidR="006E08F7">
        <w:t>.</w:t>
      </w:r>
      <w:r w:rsidR="00D44323">
        <w:t xml:space="preserve"> </w:t>
      </w:r>
      <w:r w:rsidR="000C54C7">
        <w:t>Pripažinti netekusi</w:t>
      </w:r>
      <w:r>
        <w:t xml:space="preserve">u </w:t>
      </w:r>
      <w:r w:rsidR="00E078FB">
        <w:t>galios</w:t>
      </w:r>
      <w:r w:rsidR="000C54C7">
        <w:rPr>
          <w:bCs/>
          <w:color w:val="000000"/>
        </w:rPr>
        <w:t xml:space="preserve"> Rokiškio rajono savivaldybės tarybos 202</w:t>
      </w:r>
      <w:r>
        <w:rPr>
          <w:bCs/>
          <w:color w:val="000000"/>
        </w:rPr>
        <w:t>3</w:t>
      </w:r>
      <w:r w:rsidR="00E00617">
        <w:rPr>
          <w:bCs/>
          <w:color w:val="000000"/>
        </w:rPr>
        <w:t xml:space="preserve"> </w:t>
      </w:r>
      <w:r w:rsidR="000C54C7">
        <w:rPr>
          <w:bCs/>
          <w:color w:val="000000"/>
        </w:rPr>
        <w:t xml:space="preserve">m. </w:t>
      </w:r>
      <w:r>
        <w:rPr>
          <w:bCs/>
          <w:color w:val="000000"/>
        </w:rPr>
        <w:t>birželio 29 d.</w:t>
      </w:r>
    </w:p>
    <w:p w14:paraId="7C3AF4C1" w14:textId="556E3498" w:rsidR="008235FC" w:rsidRDefault="000C54C7" w:rsidP="00360AA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Cs/>
          <w:color w:val="000000"/>
        </w:rPr>
        <w:t>sprendimą Nr.</w:t>
      </w:r>
      <w:r w:rsidR="006C4A8A">
        <w:rPr>
          <w:bCs/>
          <w:color w:val="000000"/>
        </w:rPr>
        <w:t xml:space="preserve"> </w:t>
      </w:r>
      <w:r>
        <w:rPr>
          <w:bCs/>
          <w:color w:val="000000"/>
        </w:rPr>
        <w:t>TS-2</w:t>
      </w:r>
      <w:r w:rsidR="008235FC">
        <w:rPr>
          <w:bCs/>
          <w:color w:val="000000"/>
        </w:rPr>
        <w:t>37</w:t>
      </w:r>
      <w:r>
        <w:rPr>
          <w:bCs/>
          <w:color w:val="000000"/>
        </w:rPr>
        <w:t xml:space="preserve"> „</w:t>
      </w:r>
      <w:r w:rsidR="008235FC">
        <w:rPr>
          <w:bCs/>
          <w:color w:val="000000"/>
        </w:rPr>
        <w:t>D</w:t>
      </w:r>
      <w:r w:rsidR="008235FC" w:rsidRPr="008235FC">
        <w:rPr>
          <w:bCs/>
          <w:szCs w:val="20"/>
        </w:rPr>
        <w:t>ėl didžiausio leistino</w:t>
      </w:r>
      <w:r w:rsidR="008235FC" w:rsidRPr="008235FC">
        <w:rPr>
          <w:bCs/>
          <w:lang w:eastAsia="en-US"/>
        </w:rPr>
        <w:t xml:space="preserve"> valstybės tarnautojų ir darbuotojų, dirbančių pagal</w:t>
      </w:r>
      <w:r w:rsidR="008235FC">
        <w:rPr>
          <w:bCs/>
          <w:lang w:eastAsia="en-US"/>
        </w:rPr>
        <w:t xml:space="preserve"> </w:t>
      </w:r>
      <w:r w:rsidR="008235FC" w:rsidRPr="008235FC">
        <w:rPr>
          <w:bCs/>
          <w:lang w:eastAsia="en-US"/>
        </w:rPr>
        <w:t>darbo sutartis,</w:t>
      </w:r>
      <w:r w:rsidR="008235FC" w:rsidRPr="008235FC">
        <w:rPr>
          <w:bCs/>
          <w:szCs w:val="20"/>
        </w:rPr>
        <w:t xml:space="preserve"> pareigybių skaičiaus</w:t>
      </w:r>
      <w:r w:rsidR="008235FC" w:rsidRPr="008235FC">
        <w:rPr>
          <w:bCs/>
        </w:rPr>
        <w:t xml:space="preserve"> patvirtinimo </w:t>
      </w:r>
      <w:r w:rsidR="008235FC">
        <w:rPr>
          <w:bCs/>
        </w:rPr>
        <w:t>R</w:t>
      </w:r>
      <w:r w:rsidR="008235FC" w:rsidRPr="008235FC">
        <w:rPr>
          <w:bCs/>
        </w:rPr>
        <w:t>okiškio rajono savivaldybės biudžetinėse įstaigose</w:t>
      </w:r>
      <w:r w:rsidR="008235FC">
        <w:rPr>
          <w:bCs/>
        </w:rPr>
        <w:t>“.</w:t>
      </w:r>
    </w:p>
    <w:p w14:paraId="7C82F4EB" w14:textId="293A0AD9" w:rsidR="007251B8" w:rsidRPr="0098652F" w:rsidRDefault="007251B8" w:rsidP="00360AA3">
      <w:pPr>
        <w:ind w:firstLine="851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6FAE1CB" w14:textId="77777777" w:rsidR="007251B8" w:rsidRDefault="007251B8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p w14:paraId="21B4FD7E" w14:textId="77777777" w:rsidR="007251B8" w:rsidRDefault="007251B8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p w14:paraId="19F83432" w14:textId="77777777" w:rsidR="002A2053" w:rsidRPr="002A2053" w:rsidRDefault="002A2053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p w14:paraId="61F71C02" w14:textId="77777777" w:rsidR="002A2053" w:rsidRPr="002A2053" w:rsidRDefault="002A2053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p w14:paraId="5FFA5B41" w14:textId="77777777" w:rsidR="002A2053" w:rsidRPr="002A2053" w:rsidRDefault="002A2053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2A2053">
        <w:rPr>
          <w:szCs w:val="20"/>
        </w:rPr>
        <w:t xml:space="preserve">Savivaldybės meras    </w:t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  <w:t>Ramūnas Godeliauskas</w:t>
      </w:r>
    </w:p>
    <w:p w14:paraId="228BC759" w14:textId="77777777" w:rsidR="002A2053" w:rsidRPr="002A2053" w:rsidRDefault="002A2053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76B6909" w14:textId="77777777" w:rsidR="002A2053" w:rsidRPr="002A2053" w:rsidRDefault="002A2053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EA977F5" w14:textId="77777777" w:rsidR="002A2053" w:rsidRPr="002A2053" w:rsidRDefault="002A2053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45DB399" w14:textId="77777777" w:rsidR="00DD16A6" w:rsidRDefault="00DD16A6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13B09B6" w14:textId="77777777" w:rsidR="00DE0B3D" w:rsidRDefault="00B615CF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</w:t>
      </w:r>
      <w:r>
        <w:rPr>
          <w:szCs w:val="20"/>
        </w:rPr>
        <w:tab/>
      </w:r>
    </w:p>
    <w:p w14:paraId="0E16C40C" w14:textId="77777777" w:rsidR="00DE0B3D" w:rsidRDefault="00DE0B3D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2111B57" w14:textId="77777777" w:rsidR="00AB3C0B" w:rsidRDefault="00AB3C0B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82A823C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06E3A6E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40136FA9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C5E6965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640564D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592E507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A1545EB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55485F39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4CE6ADB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50ED534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D923014" w14:textId="77777777" w:rsidR="008235FC" w:rsidRDefault="008235FC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FCE3355" w14:textId="77777777" w:rsidR="00AB3C0B" w:rsidRDefault="00AB3C0B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2A2053">
        <w:rPr>
          <w:szCs w:val="20"/>
        </w:rPr>
        <w:t>Reda Dūdienė</w:t>
      </w:r>
    </w:p>
    <w:p w14:paraId="74A072B5" w14:textId="3B19103F" w:rsidR="00607475" w:rsidRPr="00D357DC" w:rsidRDefault="009D4733" w:rsidP="001621C6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Cs w:val="20"/>
        </w:rPr>
        <w:lastRenderedPageBreak/>
        <w:tab/>
      </w:r>
      <w:r>
        <w:rPr>
          <w:szCs w:val="20"/>
        </w:rPr>
        <w:tab/>
      </w:r>
      <w:r>
        <w:rPr>
          <w:szCs w:val="20"/>
        </w:rPr>
        <w:tab/>
      </w:r>
      <w:r w:rsidR="00607475" w:rsidRPr="00D357DC">
        <w:rPr>
          <w:sz w:val="22"/>
          <w:szCs w:val="22"/>
        </w:rPr>
        <w:t>PATVIRTINTA</w:t>
      </w:r>
    </w:p>
    <w:p w14:paraId="5466718A" w14:textId="5AA3058E" w:rsidR="00754649" w:rsidRDefault="009D4733" w:rsidP="001621C6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4649">
        <w:rPr>
          <w:sz w:val="22"/>
          <w:szCs w:val="22"/>
        </w:rPr>
        <w:t>Rokiškio rajono savivaldybės tarybos</w:t>
      </w:r>
    </w:p>
    <w:p w14:paraId="58777D96" w14:textId="3BA782B2" w:rsidR="00754649" w:rsidRDefault="00754649" w:rsidP="001621C6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  <w:r>
        <w:rPr>
          <w:sz w:val="22"/>
          <w:szCs w:val="22"/>
        </w:rPr>
        <w:t>202</w:t>
      </w:r>
      <w:r w:rsidR="00DE0B3D">
        <w:rPr>
          <w:sz w:val="22"/>
          <w:szCs w:val="22"/>
        </w:rPr>
        <w:t>3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6E08F7">
        <w:rPr>
          <w:sz w:val="22"/>
          <w:szCs w:val="22"/>
        </w:rPr>
        <w:t>.</w:t>
      </w:r>
      <w:r w:rsidR="002C3B2B">
        <w:rPr>
          <w:sz w:val="22"/>
          <w:szCs w:val="22"/>
        </w:rPr>
        <w:t xml:space="preserve"> </w:t>
      </w:r>
      <w:r w:rsidR="00C84543">
        <w:rPr>
          <w:sz w:val="22"/>
          <w:szCs w:val="22"/>
        </w:rPr>
        <w:t xml:space="preserve">rugsėjo 28 </w:t>
      </w:r>
      <w:r>
        <w:rPr>
          <w:sz w:val="22"/>
          <w:szCs w:val="22"/>
        </w:rPr>
        <w:t>d. sprendim</w:t>
      </w:r>
      <w:r w:rsidR="004A408B">
        <w:rPr>
          <w:sz w:val="22"/>
          <w:szCs w:val="22"/>
        </w:rPr>
        <w:t>u</w:t>
      </w:r>
      <w:r>
        <w:rPr>
          <w:sz w:val="22"/>
          <w:szCs w:val="22"/>
        </w:rPr>
        <w:t xml:space="preserve"> Nr.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TS-</w:t>
      </w:r>
    </w:p>
    <w:p w14:paraId="1E19CE9D" w14:textId="37FF61B3" w:rsidR="007F4E60" w:rsidRPr="002C3B2B" w:rsidRDefault="007F4E60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3F624179" w14:textId="77777777" w:rsidR="00451B8F" w:rsidRDefault="00451B8F" w:rsidP="001621C6">
      <w:pPr>
        <w:spacing w:line="276" w:lineRule="auto"/>
        <w:rPr>
          <w:b/>
        </w:rPr>
      </w:pPr>
    </w:p>
    <w:p w14:paraId="01186EF9" w14:textId="23D5DE62" w:rsidR="00451B8F" w:rsidRPr="008235FC" w:rsidRDefault="006E08F7" w:rsidP="00203940">
      <w:pPr>
        <w:spacing w:line="276" w:lineRule="auto"/>
        <w:jc w:val="center"/>
        <w:rPr>
          <w:b/>
          <w:bCs/>
          <w:iCs/>
          <w:lang w:eastAsia="en-US"/>
        </w:rPr>
      </w:pPr>
      <w:r w:rsidRPr="004A408B">
        <w:rPr>
          <w:b/>
        </w:rPr>
        <w:t>DIDŽIAUSIAS LEISTINAS</w:t>
      </w:r>
      <w:r w:rsidR="006E5316" w:rsidRPr="004A408B">
        <w:rPr>
          <w:b/>
        </w:rPr>
        <w:t xml:space="preserve"> </w:t>
      </w:r>
      <w:r w:rsidR="006E5316" w:rsidRPr="004A408B">
        <w:rPr>
          <w:b/>
          <w:lang w:eastAsia="en-US"/>
        </w:rPr>
        <w:t>VALSTYBĖS TARNAUTOJŲ IR DARBUOTOJŲ, DIRBANČIŲ PAGAL DARBO SUTARTIS</w:t>
      </w:r>
      <w:r w:rsidR="007E14D3" w:rsidRPr="004A408B">
        <w:rPr>
          <w:b/>
          <w:lang w:eastAsia="en-US"/>
        </w:rPr>
        <w:t>,</w:t>
      </w:r>
      <w:r w:rsidR="006E5316" w:rsidRPr="004A408B">
        <w:rPr>
          <w:b/>
        </w:rPr>
        <w:t xml:space="preserve"> </w:t>
      </w:r>
      <w:r w:rsidRPr="004A408B">
        <w:rPr>
          <w:b/>
        </w:rPr>
        <w:t>PAREIGYBIŲ SKAIČIUS ROKIŠKIO RAJONO SAVIVALDYBĖS BIUDŽETINĖSE ĮSTAIGOSE</w:t>
      </w:r>
    </w:p>
    <w:p w14:paraId="659DC70F" w14:textId="77777777" w:rsidR="0043798A" w:rsidRDefault="0043798A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4625"/>
        <w:gridCol w:w="1559"/>
        <w:gridCol w:w="1310"/>
        <w:gridCol w:w="1264"/>
      </w:tblGrid>
      <w:tr w:rsidR="006E08F7" w:rsidRPr="00D357DC" w14:paraId="6C649B29" w14:textId="77777777" w:rsidTr="0020303E">
        <w:trPr>
          <w:trHeight w:val="487"/>
        </w:trPr>
        <w:tc>
          <w:tcPr>
            <w:tcW w:w="870" w:type="dxa"/>
            <w:vMerge w:val="restart"/>
            <w:hideMark/>
          </w:tcPr>
          <w:p w14:paraId="5271E237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OLE_LINK1"/>
            <w:r w:rsidRPr="00D357DC">
              <w:rPr>
                <w:sz w:val="20"/>
                <w:szCs w:val="20"/>
              </w:rPr>
              <w:t>Eil.</w:t>
            </w:r>
            <w:r>
              <w:rPr>
                <w:sz w:val="20"/>
                <w:szCs w:val="20"/>
              </w:rPr>
              <w:t xml:space="preserve"> </w:t>
            </w:r>
            <w:r w:rsidRPr="00D357DC">
              <w:rPr>
                <w:sz w:val="20"/>
                <w:szCs w:val="20"/>
              </w:rPr>
              <w:t>Nr.</w:t>
            </w:r>
          </w:p>
        </w:tc>
        <w:tc>
          <w:tcPr>
            <w:tcW w:w="4625" w:type="dxa"/>
            <w:vMerge w:val="restart"/>
            <w:hideMark/>
          </w:tcPr>
          <w:p w14:paraId="7600302B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Įstaigos pavadinimas</w:t>
            </w:r>
          </w:p>
        </w:tc>
        <w:tc>
          <w:tcPr>
            <w:tcW w:w="4133" w:type="dxa"/>
            <w:gridSpan w:val="3"/>
            <w:hideMark/>
          </w:tcPr>
          <w:p w14:paraId="0044D9CF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Didžiausias leistinas pareigybių (etatų) skaičius</w:t>
            </w:r>
          </w:p>
        </w:tc>
      </w:tr>
      <w:tr w:rsidR="006E08F7" w:rsidRPr="00D357DC" w14:paraId="28375C42" w14:textId="77777777" w:rsidTr="0020303E">
        <w:trPr>
          <w:trHeight w:val="315"/>
        </w:trPr>
        <w:tc>
          <w:tcPr>
            <w:tcW w:w="870" w:type="dxa"/>
            <w:vMerge/>
            <w:hideMark/>
          </w:tcPr>
          <w:p w14:paraId="6AA1603D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4BF60569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14:paraId="383A73A6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viso</w:t>
            </w:r>
          </w:p>
        </w:tc>
        <w:tc>
          <w:tcPr>
            <w:tcW w:w="2574" w:type="dxa"/>
            <w:gridSpan w:val="2"/>
            <w:hideMark/>
          </w:tcPr>
          <w:p w14:paraId="35736D5D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to skaičiaus</w:t>
            </w:r>
          </w:p>
        </w:tc>
      </w:tr>
      <w:tr w:rsidR="006E08F7" w:rsidRPr="00D357DC" w14:paraId="7899DCBD" w14:textId="77777777" w:rsidTr="0020303E">
        <w:trPr>
          <w:trHeight w:val="300"/>
        </w:trPr>
        <w:tc>
          <w:tcPr>
            <w:tcW w:w="870" w:type="dxa"/>
            <w:vMerge/>
            <w:hideMark/>
          </w:tcPr>
          <w:p w14:paraId="6EDB10C9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651FF3CA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5D8877E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hideMark/>
          </w:tcPr>
          <w:p w14:paraId="2ED2B0F6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kiti darbuotojai</w:t>
            </w:r>
          </w:p>
        </w:tc>
        <w:tc>
          <w:tcPr>
            <w:tcW w:w="1264" w:type="dxa"/>
            <w:hideMark/>
          </w:tcPr>
          <w:p w14:paraId="63DB8C15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mokytojai</w:t>
            </w:r>
          </w:p>
        </w:tc>
      </w:tr>
      <w:tr w:rsidR="006E08F7" w:rsidRPr="00D357DC" w14:paraId="4D8490F5" w14:textId="77777777" w:rsidTr="00CD6CA0">
        <w:trPr>
          <w:trHeight w:val="910"/>
        </w:trPr>
        <w:tc>
          <w:tcPr>
            <w:tcW w:w="870" w:type="dxa"/>
            <w:vMerge/>
            <w:hideMark/>
          </w:tcPr>
          <w:p w14:paraId="41B63A11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06DE7E50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0A07844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14:paraId="47327AD4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4" w:type="dxa"/>
            <w:hideMark/>
          </w:tcPr>
          <w:p w14:paraId="769F04B5" w14:textId="77777777" w:rsidR="006E08F7" w:rsidRPr="00D357D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(bendrojo ir neformaliojo ugdymo)</w:t>
            </w:r>
          </w:p>
        </w:tc>
      </w:tr>
      <w:tr w:rsidR="006E08F7" w:rsidRPr="00E06A35" w14:paraId="02D6948D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4DC5579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noWrap/>
            <w:hideMark/>
          </w:tcPr>
          <w:p w14:paraId="33C7D455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,,Nykštukas“</w:t>
            </w:r>
          </w:p>
        </w:tc>
        <w:tc>
          <w:tcPr>
            <w:tcW w:w="1559" w:type="dxa"/>
            <w:noWrap/>
            <w:hideMark/>
          </w:tcPr>
          <w:p w14:paraId="14297E66" w14:textId="567F9A43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4543">
              <w:rPr>
                <w:sz w:val="20"/>
                <w:szCs w:val="20"/>
              </w:rPr>
              <w:t>3,17</w:t>
            </w:r>
          </w:p>
        </w:tc>
        <w:tc>
          <w:tcPr>
            <w:tcW w:w="1310" w:type="dxa"/>
            <w:noWrap/>
            <w:hideMark/>
          </w:tcPr>
          <w:p w14:paraId="16E2C767" w14:textId="34BB5A54" w:rsidR="006E08F7" w:rsidRPr="00E06A35" w:rsidRDefault="00C8454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33,17</w:t>
            </w:r>
          </w:p>
        </w:tc>
        <w:tc>
          <w:tcPr>
            <w:tcW w:w="1264" w:type="dxa"/>
            <w:hideMark/>
          </w:tcPr>
          <w:p w14:paraId="150884AD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6778B344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7D0DA56F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  <w:noWrap/>
            <w:hideMark/>
          </w:tcPr>
          <w:p w14:paraId="0F9086B8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,,Pumpurėlis“</w:t>
            </w:r>
          </w:p>
        </w:tc>
        <w:tc>
          <w:tcPr>
            <w:tcW w:w="1559" w:type="dxa"/>
            <w:noWrap/>
            <w:hideMark/>
          </w:tcPr>
          <w:p w14:paraId="368D00E9" w14:textId="4A6234C8" w:rsidR="006E08F7" w:rsidRPr="00E06A35" w:rsidRDefault="00C8454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57,81</w:t>
            </w:r>
          </w:p>
        </w:tc>
        <w:tc>
          <w:tcPr>
            <w:tcW w:w="1310" w:type="dxa"/>
            <w:noWrap/>
            <w:hideMark/>
          </w:tcPr>
          <w:p w14:paraId="5A68A9BC" w14:textId="53FE5BBF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</w:t>
            </w:r>
            <w:r w:rsidR="00C84543">
              <w:rPr>
                <w:sz w:val="20"/>
                <w:szCs w:val="20"/>
              </w:rPr>
              <w:t>7,81</w:t>
            </w:r>
          </w:p>
        </w:tc>
        <w:tc>
          <w:tcPr>
            <w:tcW w:w="1264" w:type="dxa"/>
            <w:hideMark/>
          </w:tcPr>
          <w:p w14:paraId="7C4468E2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09468096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1C8219A3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  <w:noWrap/>
            <w:hideMark/>
          </w:tcPr>
          <w:p w14:paraId="461E4533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lopšelis-darželis</w:t>
            </w:r>
          </w:p>
        </w:tc>
        <w:tc>
          <w:tcPr>
            <w:tcW w:w="1559" w:type="dxa"/>
            <w:noWrap/>
            <w:hideMark/>
          </w:tcPr>
          <w:p w14:paraId="12519E35" w14:textId="7DE79AFA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4,1</w:t>
            </w:r>
          </w:p>
        </w:tc>
        <w:tc>
          <w:tcPr>
            <w:tcW w:w="1310" w:type="dxa"/>
            <w:noWrap/>
            <w:hideMark/>
          </w:tcPr>
          <w:p w14:paraId="602F0136" w14:textId="25DBD296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4,1</w:t>
            </w:r>
          </w:p>
        </w:tc>
        <w:tc>
          <w:tcPr>
            <w:tcW w:w="1264" w:type="dxa"/>
            <w:hideMark/>
          </w:tcPr>
          <w:p w14:paraId="064E6A09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669B4BB4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70BFBF80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hideMark/>
          </w:tcPr>
          <w:p w14:paraId="07227682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Antano Strazdo gimnazijos ikimokyklinio ugdymo skyrius</w:t>
            </w:r>
          </w:p>
        </w:tc>
        <w:tc>
          <w:tcPr>
            <w:tcW w:w="1559" w:type="dxa"/>
            <w:noWrap/>
          </w:tcPr>
          <w:p w14:paraId="50290702" w14:textId="706D727A" w:rsidR="006E08F7" w:rsidRPr="00DE0B3D" w:rsidRDefault="00C8454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310" w:type="dxa"/>
            <w:noWrap/>
          </w:tcPr>
          <w:p w14:paraId="50FEB0E4" w14:textId="633E7A76" w:rsidR="006E08F7" w:rsidRPr="00DE0B3D" w:rsidRDefault="00C8454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264" w:type="dxa"/>
            <w:hideMark/>
          </w:tcPr>
          <w:p w14:paraId="55D4FA83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39C854E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6EB4299B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10AD0AC2" w14:textId="1D2090AA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Mokykla-darželis ,,Ąžuoliukas</w:t>
            </w:r>
            <w:r w:rsidR="00C84543">
              <w:rPr>
                <w:sz w:val="20"/>
                <w:szCs w:val="20"/>
              </w:rPr>
              <w:t>“</w:t>
            </w:r>
          </w:p>
        </w:tc>
        <w:tc>
          <w:tcPr>
            <w:tcW w:w="1559" w:type="dxa"/>
            <w:noWrap/>
          </w:tcPr>
          <w:p w14:paraId="59827A3C" w14:textId="6D0E2902" w:rsidR="006E08F7" w:rsidRPr="00E06A35" w:rsidRDefault="00C8454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42,45</w:t>
            </w:r>
          </w:p>
        </w:tc>
        <w:tc>
          <w:tcPr>
            <w:tcW w:w="1310" w:type="dxa"/>
            <w:noWrap/>
          </w:tcPr>
          <w:p w14:paraId="7D982DC1" w14:textId="7643BAAD" w:rsidR="006E08F7" w:rsidRPr="00E06A35" w:rsidRDefault="00C8454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64" w:type="dxa"/>
            <w:hideMark/>
          </w:tcPr>
          <w:p w14:paraId="52203CC6" w14:textId="2B68A41A" w:rsidR="006E08F7" w:rsidRPr="00E06A35" w:rsidRDefault="00C8454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</w:tr>
      <w:tr w:rsidR="006E08F7" w:rsidRPr="00E06A35" w14:paraId="3B939AF9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56E7ECE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0B0390F6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Obelių gimnazijos ikimokyklinio ugdymo skyrius</w:t>
            </w:r>
          </w:p>
        </w:tc>
        <w:tc>
          <w:tcPr>
            <w:tcW w:w="1559" w:type="dxa"/>
            <w:noWrap/>
            <w:hideMark/>
          </w:tcPr>
          <w:p w14:paraId="22DCE4F7" w14:textId="16A73C23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</w:t>
            </w:r>
            <w:r w:rsidR="00C84543">
              <w:rPr>
                <w:sz w:val="20"/>
                <w:szCs w:val="20"/>
              </w:rPr>
              <w:t>79</w:t>
            </w:r>
          </w:p>
        </w:tc>
        <w:tc>
          <w:tcPr>
            <w:tcW w:w="1310" w:type="dxa"/>
            <w:noWrap/>
            <w:hideMark/>
          </w:tcPr>
          <w:p w14:paraId="0F48A908" w14:textId="2E634B9C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</w:t>
            </w:r>
            <w:r w:rsidR="00C84543">
              <w:rPr>
                <w:sz w:val="20"/>
                <w:szCs w:val="20"/>
              </w:rPr>
              <w:t>79</w:t>
            </w:r>
          </w:p>
        </w:tc>
        <w:tc>
          <w:tcPr>
            <w:tcW w:w="1264" w:type="dxa"/>
            <w:hideMark/>
          </w:tcPr>
          <w:p w14:paraId="71894E74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395F8F33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8AD0C6A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noWrap/>
            <w:hideMark/>
          </w:tcPr>
          <w:p w14:paraId="11C1FCB4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Mokyklos-darželio „Ąžuoliukas“ Kavoliškio skyrius</w:t>
            </w:r>
          </w:p>
        </w:tc>
        <w:tc>
          <w:tcPr>
            <w:tcW w:w="1559" w:type="dxa"/>
            <w:noWrap/>
            <w:hideMark/>
          </w:tcPr>
          <w:p w14:paraId="5A082FB9" w14:textId="77D86A25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0,11</w:t>
            </w:r>
          </w:p>
        </w:tc>
        <w:tc>
          <w:tcPr>
            <w:tcW w:w="1310" w:type="dxa"/>
            <w:noWrap/>
            <w:hideMark/>
          </w:tcPr>
          <w:p w14:paraId="071BBE1A" w14:textId="62280D1E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</w:t>
            </w:r>
            <w:r w:rsidR="00C84543">
              <w:rPr>
                <w:sz w:val="20"/>
                <w:szCs w:val="20"/>
              </w:rPr>
              <w:t>8,43</w:t>
            </w:r>
          </w:p>
        </w:tc>
        <w:tc>
          <w:tcPr>
            <w:tcW w:w="1264" w:type="dxa"/>
            <w:hideMark/>
          </w:tcPr>
          <w:p w14:paraId="4E58A284" w14:textId="6BADCCBE" w:rsidR="006E08F7" w:rsidRPr="00E06A35" w:rsidRDefault="001C505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</w:tr>
      <w:tr w:rsidR="006E08F7" w:rsidRPr="00E06A35" w14:paraId="753636E3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2056AED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8.</w:t>
            </w:r>
          </w:p>
        </w:tc>
        <w:tc>
          <w:tcPr>
            <w:tcW w:w="4625" w:type="dxa"/>
            <w:noWrap/>
            <w:hideMark/>
          </w:tcPr>
          <w:p w14:paraId="44E3BFF1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Lopšelis-darželis ,,Varpelis“</w:t>
            </w:r>
          </w:p>
        </w:tc>
        <w:tc>
          <w:tcPr>
            <w:tcW w:w="1559" w:type="dxa"/>
            <w:noWrap/>
            <w:hideMark/>
          </w:tcPr>
          <w:p w14:paraId="70476314" w14:textId="11605EA0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C84543">
              <w:rPr>
                <w:sz w:val="20"/>
                <w:szCs w:val="20"/>
              </w:rPr>
              <w:t>6,31</w:t>
            </w:r>
          </w:p>
        </w:tc>
        <w:tc>
          <w:tcPr>
            <w:tcW w:w="1310" w:type="dxa"/>
            <w:noWrap/>
            <w:hideMark/>
          </w:tcPr>
          <w:p w14:paraId="7DB0F0FF" w14:textId="790D1282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C84543">
              <w:rPr>
                <w:sz w:val="20"/>
                <w:szCs w:val="20"/>
              </w:rPr>
              <w:t>6,31</w:t>
            </w:r>
          </w:p>
        </w:tc>
        <w:tc>
          <w:tcPr>
            <w:tcW w:w="1264" w:type="dxa"/>
            <w:hideMark/>
          </w:tcPr>
          <w:p w14:paraId="081A54DC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2DFB4764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BE4A0CB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9.</w:t>
            </w:r>
          </w:p>
        </w:tc>
        <w:tc>
          <w:tcPr>
            <w:tcW w:w="4625" w:type="dxa"/>
            <w:noWrap/>
            <w:hideMark/>
          </w:tcPr>
          <w:p w14:paraId="4CF96F2D" w14:textId="2372B19A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Senamiesčio progimnazija </w:t>
            </w:r>
          </w:p>
        </w:tc>
        <w:tc>
          <w:tcPr>
            <w:tcW w:w="1559" w:type="dxa"/>
            <w:noWrap/>
            <w:hideMark/>
          </w:tcPr>
          <w:p w14:paraId="182AEC9D" w14:textId="3EEF4A29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C84543">
              <w:rPr>
                <w:sz w:val="20"/>
                <w:szCs w:val="20"/>
              </w:rPr>
              <w:t>9,09</w:t>
            </w:r>
          </w:p>
        </w:tc>
        <w:tc>
          <w:tcPr>
            <w:tcW w:w="1310" w:type="dxa"/>
            <w:noWrap/>
            <w:hideMark/>
          </w:tcPr>
          <w:p w14:paraId="41C3FFA7" w14:textId="6ADD5BB6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C84543">
              <w:rPr>
                <w:sz w:val="20"/>
                <w:szCs w:val="20"/>
              </w:rPr>
              <w:t>2,5</w:t>
            </w:r>
          </w:p>
        </w:tc>
        <w:tc>
          <w:tcPr>
            <w:tcW w:w="1264" w:type="dxa"/>
            <w:hideMark/>
          </w:tcPr>
          <w:p w14:paraId="1733817D" w14:textId="2779BB28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6,59</w:t>
            </w:r>
          </w:p>
        </w:tc>
      </w:tr>
      <w:tr w:rsidR="006E08F7" w:rsidRPr="00E06A35" w14:paraId="4F1AB817" w14:textId="77777777" w:rsidTr="0020303E">
        <w:trPr>
          <w:trHeight w:val="540"/>
        </w:trPr>
        <w:tc>
          <w:tcPr>
            <w:tcW w:w="870" w:type="dxa"/>
            <w:noWrap/>
            <w:hideMark/>
          </w:tcPr>
          <w:p w14:paraId="1BEE9CE6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10.</w:t>
            </w:r>
          </w:p>
        </w:tc>
        <w:tc>
          <w:tcPr>
            <w:tcW w:w="4625" w:type="dxa"/>
            <w:hideMark/>
          </w:tcPr>
          <w:p w14:paraId="2C05E7AB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Senamiesčio progimnazijos Laibgalių ikimokyklinio ir priešmokyklinio ugdymo skyrius </w:t>
            </w:r>
          </w:p>
        </w:tc>
        <w:tc>
          <w:tcPr>
            <w:tcW w:w="1559" w:type="dxa"/>
            <w:noWrap/>
            <w:hideMark/>
          </w:tcPr>
          <w:p w14:paraId="799542DD" w14:textId="543C96C8" w:rsidR="006E08F7" w:rsidRPr="00E878B5" w:rsidRDefault="00C8454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1310" w:type="dxa"/>
            <w:noWrap/>
            <w:hideMark/>
          </w:tcPr>
          <w:p w14:paraId="6E331DE1" w14:textId="209FE473" w:rsidR="006E08F7" w:rsidRPr="00E878B5" w:rsidRDefault="00C84543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1264" w:type="dxa"/>
            <w:hideMark/>
          </w:tcPr>
          <w:p w14:paraId="3A0E3BD9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1F90B190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F153667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11.</w:t>
            </w:r>
          </w:p>
        </w:tc>
        <w:tc>
          <w:tcPr>
            <w:tcW w:w="4625" w:type="dxa"/>
            <w:noWrap/>
            <w:hideMark/>
          </w:tcPr>
          <w:p w14:paraId="7BD4E468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Panemunėlio universalus daugiafunkcis centras</w:t>
            </w:r>
          </w:p>
        </w:tc>
        <w:tc>
          <w:tcPr>
            <w:tcW w:w="1559" w:type="dxa"/>
            <w:noWrap/>
            <w:hideMark/>
          </w:tcPr>
          <w:p w14:paraId="314B6590" w14:textId="0D7EA73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</w:t>
            </w:r>
            <w:r w:rsidR="0020303E">
              <w:rPr>
                <w:sz w:val="20"/>
                <w:szCs w:val="20"/>
              </w:rPr>
              <w:t>46</w:t>
            </w:r>
          </w:p>
        </w:tc>
        <w:tc>
          <w:tcPr>
            <w:tcW w:w="1310" w:type="dxa"/>
            <w:noWrap/>
            <w:hideMark/>
          </w:tcPr>
          <w:p w14:paraId="348421DA" w14:textId="1BB8FA04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</w:t>
            </w:r>
            <w:r w:rsidR="0020303E">
              <w:rPr>
                <w:sz w:val="20"/>
                <w:szCs w:val="20"/>
              </w:rPr>
              <w:t>46</w:t>
            </w:r>
          </w:p>
        </w:tc>
        <w:tc>
          <w:tcPr>
            <w:tcW w:w="1264" w:type="dxa"/>
            <w:hideMark/>
          </w:tcPr>
          <w:p w14:paraId="4C13682F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32F673D6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0CF896AA" w14:textId="77777777" w:rsidR="006E08F7" w:rsidRPr="00C6049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49C">
              <w:rPr>
                <w:sz w:val="20"/>
                <w:szCs w:val="20"/>
              </w:rPr>
              <w:t>12.</w:t>
            </w:r>
          </w:p>
        </w:tc>
        <w:tc>
          <w:tcPr>
            <w:tcW w:w="4625" w:type="dxa"/>
            <w:noWrap/>
            <w:hideMark/>
          </w:tcPr>
          <w:p w14:paraId="4470D8BE" w14:textId="17C034BD" w:rsidR="006E08F7" w:rsidRPr="004F1E4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Kamajų Antano Strazdo gimnazija</w:t>
            </w:r>
          </w:p>
        </w:tc>
        <w:tc>
          <w:tcPr>
            <w:tcW w:w="1559" w:type="dxa"/>
            <w:noWrap/>
            <w:hideMark/>
          </w:tcPr>
          <w:p w14:paraId="3837C89E" w14:textId="2698CE41" w:rsidR="006E08F7" w:rsidRPr="004F1E4C" w:rsidRDefault="0020303E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</w:t>
            </w:r>
            <w:r w:rsidR="006D6E23">
              <w:rPr>
                <w:sz w:val="20"/>
                <w:szCs w:val="20"/>
              </w:rPr>
              <w:t>75</w:t>
            </w:r>
          </w:p>
        </w:tc>
        <w:tc>
          <w:tcPr>
            <w:tcW w:w="1310" w:type="dxa"/>
            <w:noWrap/>
            <w:hideMark/>
          </w:tcPr>
          <w:p w14:paraId="4F1815D6" w14:textId="4F2D4CB6" w:rsidR="006E08F7" w:rsidRPr="004F1E4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8,</w:t>
            </w:r>
            <w:r w:rsidR="006D6E23">
              <w:rPr>
                <w:sz w:val="20"/>
                <w:szCs w:val="20"/>
              </w:rPr>
              <w:t>75</w:t>
            </w:r>
          </w:p>
        </w:tc>
        <w:tc>
          <w:tcPr>
            <w:tcW w:w="1264" w:type="dxa"/>
            <w:hideMark/>
          </w:tcPr>
          <w:p w14:paraId="6A0A94AC" w14:textId="7877084F" w:rsidR="006E08F7" w:rsidRPr="004F1E4C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4</w:t>
            </w:r>
          </w:p>
        </w:tc>
      </w:tr>
      <w:tr w:rsidR="006E08F7" w:rsidRPr="00E06A35" w14:paraId="61315395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919C6A9" w14:textId="77777777" w:rsidR="006E08F7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3.</w:t>
            </w:r>
          </w:p>
          <w:p w14:paraId="009EB4C7" w14:textId="1E583236" w:rsidR="0020303E" w:rsidRPr="00944861" w:rsidRDefault="0020303E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noWrap/>
            <w:hideMark/>
          </w:tcPr>
          <w:p w14:paraId="6389EF9C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suaugusiųjų ir jaunimo skyrius</w:t>
            </w:r>
          </w:p>
        </w:tc>
        <w:tc>
          <w:tcPr>
            <w:tcW w:w="1559" w:type="dxa"/>
            <w:noWrap/>
            <w:hideMark/>
          </w:tcPr>
          <w:p w14:paraId="3DBA3227" w14:textId="48276B4C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0,46</w:t>
            </w:r>
          </w:p>
        </w:tc>
        <w:tc>
          <w:tcPr>
            <w:tcW w:w="1310" w:type="dxa"/>
            <w:noWrap/>
            <w:hideMark/>
          </w:tcPr>
          <w:p w14:paraId="2B22D87D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hideMark/>
          </w:tcPr>
          <w:p w14:paraId="72D7F079" w14:textId="03A1C83B" w:rsidR="006E08F7" w:rsidRPr="00E06A35" w:rsidRDefault="0020303E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</w:p>
        </w:tc>
      </w:tr>
      <w:tr w:rsidR="006E08F7" w:rsidRPr="00E06A35" w14:paraId="4B0926FF" w14:textId="77777777" w:rsidTr="0020303E">
        <w:trPr>
          <w:trHeight w:val="315"/>
        </w:trPr>
        <w:tc>
          <w:tcPr>
            <w:tcW w:w="870" w:type="dxa"/>
            <w:noWrap/>
          </w:tcPr>
          <w:p w14:paraId="3C605E42" w14:textId="41C0B5A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noWrap/>
          </w:tcPr>
          <w:p w14:paraId="580CEFBA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VšĮ Rokiškio psichiatrijos ligoninės mokymo skyrius</w:t>
            </w:r>
          </w:p>
        </w:tc>
        <w:tc>
          <w:tcPr>
            <w:tcW w:w="1559" w:type="dxa"/>
            <w:noWrap/>
          </w:tcPr>
          <w:p w14:paraId="0355A60A" w14:textId="2C17BBB8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</w:t>
            </w:r>
            <w:r w:rsidR="0020303E">
              <w:rPr>
                <w:sz w:val="20"/>
                <w:szCs w:val="20"/>
              </w:rPr>
              <w:t>7</w:t>
            </w:r>
          </w:p>
        </w:tc>
        <w:tc>
          <w:tcPr>
            <w:tcW w:w="1310" w:type="dxa"/>
            <w:noWrap/>
          </w:tcPr>
          <w:p w14:paraId="07CF7D97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3E11C6EC" w14:textId="2BD85BC1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</w:t>
            </w:r>
            <w:r w:rsidR="0020303E">
              <w:rPr>
                <w:sz w:val="20"/>
                <w:szCs w:val="20"/>
              </w:rPr>
              <w:t>7</w:t>
            </w:r>
          </w:p>
        </w:tc>
      </w:tr>
      <w:tr w:rsidR="006E08F7" w:rsidRPr="00E06A35" w14:paraId="3A286689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929E79E" w14:textId="4BF5B8D1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17A77038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gimnazija</w:t>
            </w:r>
          </w:p>
        </w:tc>
        <w:tc>
          <w:tcPr>
            <w:tcW w:w="1559" w:type="dxa"/>
            <w:noWrap/>
            <w:hideMark/>
          </w:tcPr>
          <w:p w14:paraId="0D88C354" w14:textId="00E4CC66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11</w:t>
            </w:r>
            <w:r w:rsidR="0020303E">
              <w:rPr>
                <w:sz w:val="20"/>
                <w:szCs w:val="20"/>
              </w:rPr>
              <w:t>2,24</w:t>
            </w:r>
          </w:p>
        </w:tc>
        <w:tc>
          <w:tcPr>
            <w:tcW w:w="1310" w:type="dxa"/>
            <w:noWrap/>
            <w:hideMark/>
          </w:tcPr>
          <w:p w14:paraId="52BA1CB8" w14:textId="132FD300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</w:t>
            </w:r>
            <w:r w:rsidR="0020303E">
              <w:rPr>
                <w:sz w:val="20"/>
                <w:szCs w:val="20"/>
              </w:rPr>
              <w:t>6,25</w:t>
            </w:r>
          </w:p>
        </w:tc>
        <w:tc>
          <w:tcPr>
            <w:tcW w:w="1264" w:type="dxa"/>
            <w:hideMark/>
          </w:tcPr>
          <w:p w14:paraId="48ECA951" w14:textId="3A845280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</w:t>
            </w:r>
            <w:r w:rsidR="0020303E">
              <w:rPr>
                <w:sz w:val="20"/>
                <w:szCs w:val="20"/>
              </w:rPr>
              <w:t>5,99</w:t>
            </w:r>
          </w:p>
        </w:tc>
      </w:tr>
      <w:tr w:rsidR="006E08F7" w:rsidRPr="00E06A35" w14:paraId="7EC81FEC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AF27501" w14:textId="6CF474EA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027F7C09" w14:textId="344D7BD8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Obelių gimnazija</w:t>
            </w:r>
          </w:p>
        </w:tc>
        <w:tc>
          <w:tcPr>
            <w:tcW w:w="1559" w:type="dxa"/>
            <w:noWrap/>
            <w:hideMark/>
          </w:tcPr>
          <w:p w14:paraId="1F25D840" w14:textId="0B9676EB" w:rsidR="006E08F7" w:rsidRPr="00B17FC9" w:rsidRDefault="006E08F7" w:rsidP="00DE2CD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FC9">
              <w:rPr>
                <w:sz w:val="20"/>
                <w:szCs w:val="20"/>
              </w:rPr>
              <w:t>4</w:t>
            </w:r>
            <w:r w:rsidR="0020303E">
              <w:rPr>
                <w:sz w:val="20"/>
                <w:szCs w:val="20"/>
              </w:rPr>
              <w:t>5,51</w:t>
            </w:r>
          </w:p>
        </w:tc>
        <w:tc>
          <w:tcPr>
            <w:tcW w:w="1310" w:type="dxa"/>
            <w:noWrap/>
            <w:hideMark/>
          </w:tcPr>
          <w:p w14:paraId="09E5DAB5" w14:textId="4E7A67EF" w:rsidR="006E08F7" w:rsidRPr="00B17FC9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FC9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4,95</w:t>
            </w:r>
          </w:p>
        </w:tc>
        <w:tc>
          <w:tcPr>
            <w:tcW w:w="1264" w:type="dxa"/>
            <w:hideMark/>
          </w:tcPr>
          <w:p w14:paraId="520401DB" w14:textId="48F21DC1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20,5</w:t>
            </w:r>
            <w:r w:rsidR="0020303E">
              <w:rPr>
                <w:sz w:val="20"/>
                <w:szCs w:val="20"/>
              </w:rPr>
              <w:t>6</w:t>
            </w:r>
          </w:p>
        </w:tc>
      </w:tr>
      <w:tr w:rsidR="006E08F7" w:rsidRPr="00E06A35" w14:paraId="30A06AB5" w14:textId="77777777" w:rsidTr="0020303E">
        <w:trPr>
          <w:trHeight w:val="295"/>
        </w:trPr>
        <w:tc>
          <w:tcPr>
            <w:tcW w:w="870" w:type="dxa"/>
            <w:noWrap/>
            <w:hideMark/>
          </w:tcPr>
          <w:p w14:paraId="5E7D9A1E" w14:textId="5D18DFC8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hideMark/>
          </w:tcPr>
          <w:p w14:paraId="138E54A2" w14:textId="4D65DB22" w:rsidR="0020303E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Juozo </w:t>
            </w:r>
            <w:proofErr w:type="spellStart"/>
            <w:r w:rsidRPr="00E06A35">
              <w:rPr>
                <w:sz w:val="20"/>
                <w:szCs w:val="20"/>
              </w:rPr>
              <w:t>Tūbelio</w:t>
            </w:r>
            <w:proofErr w:type="spellEnd"/>
            <w:r w:rsidRPr="00E06A35">
              <w:rPr>
                <w:sz w:val="20"/>
                <w:szCs w:val="20"/>
              </w:rPr>
              <w:t xml:space="preserve"> progimnazija</w:t>
            </w:r>
          </w:p>
        </w:tc>
        <w:tc>
          <w:tcPr>
            <w:tcW w:w="1559" w:type="dxa"/>
            <w:noWrap/>
            <w:hideMark/>
          </w:tcPr>
          <w:p w14:paraId="56517543" w14:textId="1A91AA23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9</w:t>
            </w:r>
            <w:r w:rsidR="0020303E">
              <w:rPr>
                <w:sz w:val="20"/>
                <w:szCs w:val="20"/>
              </w:rPr>
              <w:t>5,35</w:t>
            </w:r>
          </w:p>
        </w:tc>
        <w:tc>
          <w:tcPr>
            <w:tcW w:w="1310" w:type="dxa"/>
            <w:noWrap/>
            <w:hideMark/>
          </w:tcPr>
          <w:p w14:paraId="0E0C5DD7" w14:textId="73B492EE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20303E">
              <w:rPr>
                <w:sz w:val="20"/>
                <w:szCs w:val="20"/>
              </w:rPr>
              <w:t>4,1</w:t>
            </w:r>
          </w:p>
        </w:tc>
        <w:tc>
          <w:tcPr>
            <w:tcW w:w="1264" w:type="dxa"/>
            <w:hideMark/>
          </w:tcPr>
          <w:p w14:paraId="0B78B40F" w14:textId="3AFD5E61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</w:t>
            </w:r>
            <w:r w:rsidR="0020303E">
              <w:rPr>
                <w:sz w:val="20"/>
                <w:szCs w:val="20"/>
              </w:rPr>
              <w:t>1,25</w:t>
            </w:r>
          </w:p>
        </w:tc>
      </w:tr>
      <w:tr w:rsidR="006E08F7" w:rsidRPr="00E06A35" w14:paraId="24A33E2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152A71A1" w14:textId="4CBBD7E4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8.</w:t>
            </w:r>
          </w:p>
        </w:tc>
        <w:tc>
          <w:tcPr>
            <w:tcW w:w="4625" w:type="dxa"/>
            <w:noWrap/>
            <w:hideMark/>
          </w:tcPr>
          <w:p w14:paraId="1855F918" w14:textId="1ECEF376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Pandėlio gimnazija</w:t>
            </w:r>
          </w:p>
        </w:tc>
        <w:tc>
          <w:tcPr>
            <w:tcW w:w="1559" w:type="dxa"/>
            <w:noWrap/>
            <w:hideMark/>
          </w:tcPr>
          <w:p w14:paraId="3541CBC3" w14:textId="697982DD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03E">
              <w:rPr>
                <w:sz w:val="20"/>
                <w:szCs w:val="20"/>
              </w:rPr>
              <w:t>0,54</w:t>
            </w:r>
          </w:p>
        </w:tc>
        <w:tc>
          <w:tcPr>
            <w:tcW w:w="1310" w:type="dxa"/>
            <w:noWrap/>
            <w:hideMark/>
          </w:tcPr>
          <w:p w14:paraId="3832BA9A" w14:textId="3BCF45E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8,49</w:t>
            </w:r>
          </w:p>
        </w:tc>
        <w:tc>
          <w:tcPr>
            <w:tcW w:w="1264" w:type="dxa"/>
            <w:hideMark/>
          </w:tcPr>
          <w:p w14:paraId="0D2D79B8" w14:textId="5FBB87CC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22,0</w:t>
            </w:r>
            <w:r w:rsidR="0020303E">
              <w:rPr>
                <w:sz w:val="20"/>
                <w:szCs w:val="20"/>
              </w:rPr>
              <w:t>5</w:t>
            </w:r>
          </w:p>
        </w:tc>
      </w:tr>
      <w:tr w:rsidR="006E08F7" w:rsidRPr="00E06A35" w14:paraId="4C1F44CA" w14:textId="77777777" w:rsidTr="0020303E">
        <w:trPr>
          <w:trHeight w:val="315"/>
        </w:trPr>
        <w:tc>
          <w:tcPr>
            <w:tcW w:w="870" w:type="dxa"/>
            <w:noWrap/>
          </w:tcPr>
          <w:p w14:paraId="39F9CD5B" w14:textId="1DA7D3EB" w:rsidR="006E08F7" w:rsidRPr="00D357DC" w:rsidRDefault="0020303E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625" w:type="dxa"/>
            <w:noWrap/>
          </w:tcPr>
          <w:p w14:paraId="3F4800EA" w14:textId="2479F35C" w:rsidR="006E08F7" w:rsidRPr="00D357DC" w:rsidRDefault="00656E05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Juodupės gimnazija</w:t>
            </w:r>
          </w:p>
        </w:tc>
        <w:tc>
          <w:tcPr>
            <w:tcW w:w="1559" w:type="dxa"/>
            <w:noWrap/>
          </w:tcPr>
          <w:p w14:paraId="4857D737" w14:textId="17E4B3B8" w:rsidR="006E08F7" w:rsidRPr="00D357DC" w:rsidRDefault="00B943AC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03E">
              <w:rPr>
                <w:sz w:val="20"/>
                <w:szCs w:val="20"/>
              </w:rPr>
              <w:t>8,33</w:t>
            </w:r>
          </w:p>
        </w:tc>
        <w:tc>
          <w:tcPr>
            <w:tcW w:w="1310" w:type="dxa"/>
            <w:noWrap/>
          </w:tcPr>
          <w:p w14:paraId="6CE83A63" w14:textId="4806602A" w:rsidR="006E08F7" w:rsidRPr="00D357DC" w:rsidRDefault="00B943AC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6FFF">
              <w:rPr>
                <w:sz w:val="20"/>
                <w:szCs w:val="20"/>
              </w:rPr>
              <w:t>5,8</w:t>
            </w:r>
          </w:p>
        </w:tc>
        <w:tc>
          <w:tcPr>
            <w:tcW w:w="1264" w:type="dxa"/>
          </w:tcPr>
          <w:p w14:paraId="2414C6E7" w14:textId="084E7E54" w:rsidR="006E08F7" w:rsidRPr="00D357DC" w:rsidRDefault="00656E05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AF6FFF">
              <w:rPr>
                <w:sz w:val="20"/>
                <w:szCs w:val="20"/>
              </w:rPr>
              <w:t>53</w:t>
            </w:r>
          </w:p>
        </w:tc>
      </w:tr>
      <w:tr w:rsidR="006E08F7" w:rsidRPr="00E06A35" w14:paraId="26E03A1D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9F60436" w14:textId="1CBE72D0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0.</w:t>
            </w:r>
          </w:p>
        </w:tc>
        <w:tc>
          <w:tcPr>
            <w:tcW w:w="4625" w:type="dxa"/>
            <w:noWrap/>
            <w:hideMark/>
          </w:tcPr>
          <w:p w14:paraId="5E0C5F50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Rudolfo Lymano muzikos mokykla</w:t>
            </w:r>
          </w:p>
        </w:tc>
        <w:tc>
          <w:tcPr>
            <w:tcW w:w="1559" w:type="dxa"/>
            <w:noWrap/>
            <w:hideMark/>
          </w:tcPr>
          <w:p w14:paraId="1BB155C8" w14:textId="2DE54033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29,8</w:t>
            </w:r>
            <w:r w:rsidR="00AF6FFF">
              <w:rPr>
                <w:sz w:val="20"/>
                <w:szCs w:val="20"/>
              </w:rPr>
              <w:t>2</w:t>
            </w:r>
          </w:p>
        </w:tc>
        <w:tc>
          <w:tcPr>
            <w:tcW w:w="1310" w:type="dxa"/>
            <w:noWrap/>
            <w:hideMark/>
          </w:tcPr>
          <w:p w14:paraId="7D34ABB3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10,7</w:t>
            </w:r>
          </w:p>
        </w:tc>
        <w:tc>
          <w:tcPr>
            <w:tcW w:w="1264" w:type="dxa"/>
            <w:hideMark/>
          </w:tcPr>
          <w:p w14:paraId="68ABEE42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19,12</w:t>
            </w:r>
          </w:p>
        </w:tc>
      </w:tr>
      <w:tr w:rsidR="006E08F7" w:rsidRPr="00E06A35" w14:paraId="3AA6F110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03221FBD" w14:textId="79618299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noWrap/>
            <w:hideMark/>
          </w:tcPr>
          <w:p w14:paraId="4F2847C9" w14:textId="77777777" w:rsidR="006E08F7" w:rsidRPr="00944861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 xml:space="preserve">Rudolfo Lymano muzikos mokyklos </w:t>
            </w:r>
            <w:r>
              <w:rPr>
                <w:sz w:val="20"/>
                <w:szCs w:val="20"/>
              </w:rPr>
              <w:t>c</w:t>
            </w:r>
            <w:r w:rsidRPr="00944861">
              <w:rPr>
                <w:sz w:val="20"/>
                <w:szCs w:val="20"/>
              </w:rPr>
              <w:t>horeografijos skyrius</w:t>
            </w:r>
          </w:p>
        </w:tc>
        <w:tc>
          <w:tcPr>
            <w:tcW w:w="1559" w:type="dxa"/>
            <w:noWrap/>
            <w:hideMark/>
          </w:tcPr>
          <w:p w14:paraId="5756D7B7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noWrap/>
            <w:hideMark/>
          </w:tcPr>
          <w:p w14:paraId="399E7553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4,92</w:t>
            </w:r>
          </w:p>
        </w:tc>
        <w:tc>
          <w:tcPr>
            <w:tcW w:w="1264" w:type="dxa"/>
            <w:hideMark/>
          </w:tcPr>
          <w:p w14:paraId="0F07D5EF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5,08</w:t>
            </w:r>
          </w:p>
        </w:tc>
      </w:tr>
      <w:tr w:rsidR="006E08F7" w:rsidRPr="00E06A35" w14:paraId="7928D503" w14:textId="77777777" w:rsidTr="0020303E">
        <w:trPr>
          <w:trHeight w:val="417"/>
        </w:trPr>
        <w:tc>
          <w:tcPr>
            <w:tcW w:w="870" w:type="dxa"/>
          </w:tcPr>
          <w:p w14:paraId="317AD857" w14:textId="4BE38B20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</w:tcPr>
          <w:p w14:paraId="50CA602A" w14:textId="77777777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Pandėlio universalus daugiafunkcis centras</w:t>
            </w:r>
          </w:p>
        </w:tc>
        <w:tc>
          <w:tcPr>
            <w:tcW w:w="1559" w:type="dxa"/>
          </w:tcPr>
          <w:p w14:paraId="7ED80DEF" w14:textId="4C6D0E84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2B09B7">
              <w:rPr>
                <w:sz w:val="20"/>
                <w:szCs w:val="20"/>
              </w:rPr>
              <w:t>7,02</w:t>
            </w:r>
          </w:p>
        </w:tc>
        <w:tc>
          <w:tcPr>
            <w:tcW w:w="1310" w:type="dxa"/>
          </w:tcPr>
          <w:p w14:paraId="419B927E" w14:textId="74D2DCBD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2B09B7">
              <w:rPr>
                <w:sz w:val="20"/>
                <w:szCs w:val="20"/>
              </w:rPr>
              <w:t>4,02</w:t>
            </w:r>
          </w:p>
        </w:tc>
        <w:tc>
          <w:tcPr>
            <w:tcW w:w="1264" w:type="dxa"/>
          </w:tcPr>
          <w:p w14:paraId="084FD19B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</w:tr>
      <w:tr w:rsidR="006E08F7" w:rsidRPr="00E06A35" w14:paraId="0A63C15B" w14:textId="77777777" w:rsidTr="0020303E">
        <w:trPr>
          <w:trHeight w:val="267"/>
        </w:trPr>
        <w:tc>
          <w:tcPr>
            <w:tcW w:w="870" w:type="dxa"/>
          </w:tcPr>
          <w:p w14:paraId="2E80CCA7" w14:textId="63032FA3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</w:tcPr>
          <w:p w14:paraId="1E37E030" w14:textId="77777777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gimnazijos neformaliojo švietimo skyrius</w:t>
            </w:r>
          </w:p>
        </w:tc>
        <w:tc>
          <w:tcPr>
            <w:tcW w:w="1559" w:type="dxa"/>
          </w:tcPr>
          <w:p w14:paraId="60A049C8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3,2</w:t>
            </w:r>
          </w:p>
        </w:tc>
        <w:tc>
          <w:tcPr>
            <w:tcW w:w="1310" w:type="dxa"/>
          </w:tcPr>
          <w:p w14:paraId="003B6E47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</w:tcPr>
          <w:p w14:paraId="03024D7F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2,7</w:t>
            </w:r>
          </w:p>
        </w:tc>
      </w:tr>
      <w:tr w:rsidR="006E08F7" w:rsidRPr="00E06A35" w14:paraId="71435FF4" w14:textId="77777777" w:rsidTr="0020303E">
        <w:trPr>
          <w:trHeight w:val="379"/>
        </w:trPr>
        <w:tc>
          <w:tcPr>
            <w:tcW w:w="870" w:type="dxa"/>
          </w:tcPr>
          <w:p w14:paraId="2FFD7519" w14:textId="62B887DD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</w:tcPr>
          <w:p w14:paraId="29820AC0" w14:textId="77777777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gimnazijos neformaliojo švietimo skyrius</w:t>
            </w:r>
          </w:p>
        </w:tc>
        <w:tc>
          <w:tcPr>
            <w:tcW w:w="1559" w:type="dxa"/>
          </w:tcPr>
          <w:p w14:paraId="7CE32E97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2,85</w:t>
            </w:r>
          </w:p>
        </w:tc>
        <w:tc>
          <w:tcPr>
            <w:tcW w:w="1310" w:type="dxa"/>
          </w:tcPr>
          <w:p w14:paraId="327F6050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</w:tcPr>
          <w:p w14:paraId="5B9EAC43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2,35</w:t>
            </w:r>
          </w:p>
        </w:tc>
      </w:tr>
      <w:tr w:rsidR="006E08F7" w:rsidRPr="00E06A35" w14:paraId="2ED563A5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0C4F6C5" w14:textId="01181291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5F3BC964" w14:textId="77777777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Obelių gimnazijos neformaliojo  švietimo skyrius</w:t>
            </w:r>
          </w:p>
        </w:tc>
        <w:tc>
          <w:tcPr>
            <w:tcW w:w="1559" w:type="dxa"/>
            <w:noWrap/>
            <w:hideMark/>
          </w:tcPr>
          <w:p w14:paraId="13A9FBC4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  <w:tc>
          <w:tcPr>
            <w:tcW w:w="1310" w:type="dxa"/>
            <w:noWrap/>
            <w:hideMark/>
          </w:tcPr>
          <w:p w14:paraId="7B2C3A08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  <w:hideMark/>
          </w:tcPr>
          <w:p w14:paraId="6ABB4F12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</w:p>
        </w:tc>
      </w:tr>
      <w:tr w:rsidR="006E08F7" w:rsidRPr="00E06A35" w14:paraId="6EC55379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B5C7F51" w14:textId="0ED69644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hideMark/>
          </w:tcPr>
          <w:p w14:paraId="368D201E" w14:textId="14C0A28A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Švietimo centras (1 pareigybė projektų įgyvendinimo laikotarpiui)</w:t>
            </w:r>
          </w:p>
        </w:tc>
        <w:tc>
          <w:tcPr>
            <w:tcW w:w="1559" w:type="dxa"/>
            <w:noWrap/>
            <w:hideMark/>
          </w:tcPr>
          <w:p w14:paraId="5F15E2A2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310" w:type="dxa"/>
            <w:noWrap/>
            <w:hideMark/>
          </w:tcPr>
          <w:p w14:paraId="65A4427B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264" w:type="dxa"/>
            <w:hideMark/>
          </w:tcPr>
          <w:p w14:paraId="69975C85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</w:tr>
      <w:tr w:rsidR="006E08F7" w:rsidRPr="00E06A35" w14:paraId="55486FA3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6CE268B" w14:textId="68640BDD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lastRenderedPageBreak/>
              <w:t>2</w:t>
            </w:r>
            <w:r w:rsidR="0020303E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hideMark/>
          </w:tcPr>
          <w:p w14:paraId="3DA98913" w14:textId="77777777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Jaunimo centras (1,5</w:t>
            </w:r>
            <w:r w:rsidRPr="004024B2">
              <w:rPr>
                <w:sz w:val="20"/>
                <w:szCs w:val="20"/>
              </w:rPr>
              <w:t xml:space="preserve"> pareigybės projekto įgyvendinimo laikotarpiui)</w:t>
            </w:r>
          </w:p>
        </w:tc>
        <w:tc>
          <w:tcPr>
            <w:tcW w:w="1559" w:type="dxa"/>
            <w:noWrap/>
            <w:hideMark/>
          </w:tcPr>
          <w:p w14:paraId="2BFC6AEE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19</w:t>
            </w:r>
          </w:p>
        </w:tc>
        <w:tc>
          <w:tcPr>
            <w:tcW w:w="1310" w:type="dxa"/>
            <w:noWrap/>
            <w:hideMark/>
          </w:tcPr>
          <w:p w14:paraId="0D9EFBD0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16,5</w:t>
            </w:r>
          </w:p>
        </w:tc>
        <w:tc>
          <w:tcPr>
            <w:tcW w:w="1264" w:type="dxa"/>
            <w:hideMark/>
          </w:tcPr>
          <w:p w14:paraId="272F1BC1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</w:tr>
      <w:tr w:rsidR="006E08F7" w:rsidRPr="00E06A35" w14:paraId="5D58E706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6EFA6B7" w14:textId="7723AADF" w:rsidR="006E08F7" w:rsidRPr="004024B2" w:rsidRDefault="0020303E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625" w:type="dxa"/>
            <w:noWrap/>
            <w:hideMark/>
          </w:tcPr>
          <w:p w14:paraId="42DBA6E7" w14:textId="77777777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Priešgaisrinė tarnyba</w:t>
            </w:r>
          </w:p>
        </w:tc>
        <w:tc>
          <w:tcPr>
            <w:tcW w:w="1559" w:type="dxa"/>
            <w:noWrap/>
            <w:hideMark/>
          </w:tcPr>
          <w:p w14:paraId="7F9EBF62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310" w:type="dxa"/>
            <w:noWrap/>
            <w:hideMark/>
          </w:tcPr>
          <w:p w14:paraId="08212025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264" w:type="dxa"/>
            <w:hideMark/>
          </w:tcPr>
          <w:p w14:paraId="79DAE38F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29FADCE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6A3B79C" w14:textId="4D6E0E2A" w:rsidR="006E08F7" w:rsidRPr="004024B2" w:rsidRDefault="0020303E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625" w:type="dxa"/>
            <w:noWrap/>
            <w:hideMark/>
          </w:tcPr>
          <w:p w14:paraId="41C79AC3" w14:textId="77777777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 xml:space="preserve">Kultūros centras </w:t>
            </w:r>
          </w:p>
        </w:tc>
        <w:tc>
          <w:tcPr>
            <w:tcW w:w="1559" w:type="dxa"/>
            <w:noWrap/>
            <w:hideMark/>
          </w:tcPr>
          <w:p w14:paraId="2189026F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310" w:type="dxa"/>
            <w:noWrap/>
            <w:hideMark/>
          </w:tcPr>
          <w:p w14:paraId="202F1CC4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264" w:type="dxa"/>
            <w:hideMark/>
          </w:tcPr>
          <w:p w14:paraId="4A6F46C5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290AB71E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17F9E5AF" w14:textId="08B03E8A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0.</w:t>
            </w:r>
          </w:p>
        </w:tc>
        <w:tc>
          <w:tcPr>
            <w:tcW w:w="4625" w:type="dxa"/>
            <w:noWrap/>
            <w:hideMark/>
          </w:tcPr>
          <w:p w14:paraId="68ED3AE5" w14:textId="77777777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Krašto muziejus</w:t>
            </w:r>
          </w:p>
        </w:tc>
        <w:tc>
          <w:tcPr>
            <w:tcW w:w="1559" w:type="dxa"/>
            <w:noWrap/>
            <w:hideMark/>
          </w:tcPr>
          <w:p w14:paraId="6FF9589A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40,0</w:t>
            </w:r>
          </w:p>
        </w:tc>
        <w:tc>
          <w:tcPr>
            <w:tcW w:w="1310" w:type="dxa"/>
            <w:noWrap/>
            <w:hideMark/>
          </w:tcPr>
          <w:p w14:paraId="4BC8FDFC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40,0</w:t>
            </w:r>
          </w:p>
        </w:tc>
        <w:tc>
          <w:tcPr>
            <w:tcW w:w="1264" w:type="dxa"/>
            <w:hideMark/>
          </w:tcPr>
          <w:p w14:paraId="78C49811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06A35" w14:paraId="3747B031" w14:textId="77777777" w:rsidTr="0020303E">
        <w:trPr>
          <w:trHeight w:val="315"/>
        </w:trPr>
        <w:tc>
          <w:tcPr>
            <w:tcW w:w="870" w:type="dxa"/>
            <w:hideMark/>
          </w:tcPr>
          <w:p w14:paraId="1B1FC5F4" w14:textId="70891904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hideMark/>
          </w:tcPr>
          <w:p w14:paraId="2CF9E321" w14:textId="77777777" w:rsidR="006E08F7" w:rsidRPr="004024B2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Juozo Keliuočio viešoji biblioteka</w:t>
            </w:r>
          </w:p>
        </w:tc>
        <w:tc>
          <w:tcPr>
            <w:tcW w:w="1559" w:type="dxa"/>
            <w:hideMark/>
          </w:tcPr>
          <w:p w14:paraId="098B3964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310" w:type="dxa"/>
            <w:hideMark/>
          </w:tcPr>
          <w:p w14:paraId="3D2560FC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264" w:type="dxa"/>
            <w:hideMark/>
          </w:tcPr>
          <w:p w14:paraId="5E066B1A" w14:textId="77777777" w:rsidR="006E08F7" w:rsidRPr="00E06A3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878B5" w14:paraId="12B9324B" w14:textId="77777777" w:rsidTr="0020303E">
        <w:trPr>
          <w:trHeight w:val="315"/>
        </w:trPr>
        <w:tc>
          <w:tcPr>
            <w:tcW w:w="870" w:type="dxa"/>
            <w:hideMark/>
          </w:tcPr>
          <w:p w14:paraId="543F2948" w14:textId="73E3FC2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  <w:hideMark/>
          </w:tcPr>
          <w:p w14:paraId="161F9510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Kūno kultūros ir sporto centras</w:t>
            </w:r>
          </w:p>
        </w:tc>
        <w:tc>
          <w:tcPr>
            <w:tcW w:w="1559" w:type="dxa"/>
            <w:hideMark/>
          </w:tcPr>
          <w:p w14:paraId="54A63B7C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24,75</w:t>
            </w:r>
          </w:p>
        </w:tc>
        <w:tc>
          <w:tcPr>
            <w:tcW w:w="1310" w:type="dxa"/>
            <w:hideMark/>
          </w:tcPr>
          <w:p w14:paraId="0844F87D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14,75</w:t>
            </w:r>
          </w:p>
        </w:tc>
        <w:tc>
          <w:tcPr>
            <w:tcW w:w="1264" w:type="dxa"/>
            <w:hideMark/>
          </w:tcPr>
          <w:p w14:paraId="58FD913A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</w:tr>
      <w:tr w:rsidR="006E08F7" w:rsidRPr="00E878B5" w14:paraId="264F826B" w14:textId="77777777" w:rsidTr="0020303E">
        <w:trPr>
          <w:trHeight w:val="495"/>
        </w:trPr>
        <w:tc>
          <w:tcPr>
            <w:tcW w:w="870" w:type="dxa"/>
            <w:hideMark/>
          </w:tcPr>
          <w:p w14:paraId="65CB2104" w14:textId="5675820C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  <w:hideMark/>
          </w:tcPr>
          <w:p w14:paraId="3CBE7204" w14:textId="005DB942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Socialinės paramos centras (3,4 pareigybės projektų įgyvendinimo laikotarpiu)</w:t>
            </w:r>
          </w:p>
        </w:tc>
        <w:tc>
          <w:tcPr>
            <w:tcW w:w="1559" w:type="dxa"/>
            <w:hideMark/>
          </w:tcPr>
          <w:p w14:paraId="7128DBF1" w14:textId="77777777" w:rsidR="006E08F7" w:rsidRPr="008B748F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310" w:type="dxa"/>
            <w:hideMark/>
          </w:tcPr>
          <w:p w14:paraId="478A9A3F" w14:textId="77777777" w:rsidR="006E08F7" w:rsidRPr="008B748F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264" w:type="dxa"/>
            <w:hideMark/>
          </w:tcPr>
          <w:p w14:paraId="2B4C39BB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878B5" w14:paraId="48C1FF22" w14:textId="77777777" w:rsidTr="0020303E">
        <w:trPr>
          <w:trHeight w:val="570"/>
        </w:trPr>
        <w:tc>
          <w:tcPr>
            <w:tcW w:w="870" w:type="dxa"/>
            <w:hideMark/>
          </w:tcPr>
          <w:p w14:paraId="534B0149" w14:textId="26E439C2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hideMark/>
          </w:tcPr>
          <w:p w14:paraId="7F7D331E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Visuomenės sveikatos biuras (12,7 pareigybės – iš pajamų už teikiamas paslaugas)</w:t>
            </w:r>
          </w:p>
        </w:tc>
        <w:tc>
          <w:tcPr>
            <w:tcW w:w="1559" w:type="dxa"/>
            <w:hideMark/>
          </w:tcPr>
          <w:p w14:paraId="011F11CB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310" w:type="dxa"/>
            <w:hideMark/>
          </w:tcPr>
          <w:p w14:paraId="1FFA5105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264" w:type="dxa"/>
            <w:hideMark/>
          </w:tcPr>
          <w:p w14:paraId="6102F01A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878B5" w14:paraId="29F3987F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56589E0" w14:textId="25587E6C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hideMark/>
          </w:tcPr>
          <w:p w14:paraId="33673E00" w14:textId="2B0010A8" w:rsidR="006E08F7" w:rsidRPr="00E878B5" w:rsidRDefault="0078461C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Rokiškio t</w:t>
            </w:r>
            <w:r w:rsidR="006E08F7" w:rsidRPr="00E878B5">
              <w:rPr>
                <w:sz w:val="20"/>
                <w:szCs w:val="20"/>
              </w:rPr>
              <w:t>urizmo informacijos centras</w:t>
            </w:r>
          </w:p>
        </w:tc>
        <w:tc>
          <w:tcPr>
            <w:tcW w:w="1559" w:type="dxa"/>
            <w:noWrap/>
            <w:hideMark/>
          </w:tcPr>
          <w:p w14:paraId="1AC267DC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</w:t>
            </w:r>
          </w:p>
        </w:tc>
        <w:tc>
          <w:tcPr>
            <w:tcW w:w="1310" w:type="dxa"/>
            <w:noWrap/>
            <w:hideMark/>
          </w:tcPr>
          <w:p w14:paraId="2F171EF1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hideMark/>
          </w:tcPr>
          <w:p w14:paraId="250AC9FC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</w:tr>
      <w:tr w:rsidR="006E08F7" w:rsidRPr="00E878B5" w14:paraId="6B5F88C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012E12B6" w14:textId="7AE03A95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5F908A09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pagrindinė mokykla</w:t>
            </w:r>
          </w:p>
        </w:tc>
        <w:tc>
          <w:tcPr>
            <w:tcW w:w="1559" w:type="dxa"/>
            <w:noWrap/>
            <w:hideMark/>
          </w:tcPr>
          <w:p w14:paraId="470C64C5" w14:textId="490B235D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</w:t>
            </w:r>
            <w:r w:rsidR="00AF6FFF">
              <w:rPr>
                <w:sz w:val="20"/>
                <w:szCs w:val="20"/>
              </w:rPr>
              <w:t>6,69</w:t>
            </w:r>
          </w:p>
        </w:tc>
        <w:tc>
          <w:tcPr>
            <w:tcW w:w="1310" w:type="dxa"/>
            <w:noWrap/>
            <w:hideMark/>
          </w:tcPr>
          <w:p w14:paraId="4182B547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19,25</w:t>
            </w:r>
          </w:p>
        </w:tc>
        <w:tc>
          <w:tcPr>
            <w:tcW w:w="1264" w:type="dxa"/>
            <w:hideMark/>
          </w:tcPr>
          <w:p w14:paraId="4E714B38" w14:textId="213CAB25" w:rsidR="006E08F7" w:rsidRPr="00E878B5" w:rsidRDefault="00AF6FFF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</w:tc>
      </w:tr>
      <w:tr w:rsidR="006E08F7" w:rsidRPr="00E878B5" w14:paraId="4778A125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B0FD1B3" w14:textId="1770BC45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noWrap/>
            <w:hideMark/>
          </w:tcPr>
          <w:p w14:paraId="38ECA6E8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baseinas</w:t>
            </w:r>
          </w:p>
        </w:tc>
        <w:tc>
          <w:tcPr>
            <w:tcW w:w="1559" w:type="dxa"/>
            <w:noWrap/>
            <w:hideMark/>
          </w:tcPr>
          <w:p w14:paraId="69CBD4D1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4BB03B27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264" w:type="dxa"/>
            <w:hideMark/>
          </w:tcPr>
          <w:p w14:paraId="42DA3038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878B5" w14:paraId="70055A0D" w14:textId="77777777" w:rsidTr="00DE2CDE">
        <w:trPr>
          <w:trHeight w:val="374"/>
        </w:trPr>
        <w:tc>
          <w:tcPr>
            <w:tcW w:w="870" w:type="dxa"/>
            <w:noWrap/>
            <w:hideMark/>
          </w:tcPr>
          <w:p w14:paraId="79CAE93F" w14:textId="675C5D98" w:rsidR="006E08F7" w:rsidRPr="00E878B5" w:rsidRDefault="0020303E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625" w:type="dxa"/>
            <w:noWrap/>
            <w:hideMark/>
          </w:tcPr>
          <w:p w14:paraId="786309CC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Obelių socialinių paslaugų namai</w:t>
            </w:r>
          </w:p>
        </w:tc>
        <w:tc>
          <w:tcPr>
            <w:tcW w:w="1559" w:type="dxa"/>
            <w:noWrap/>
            <w:hideMark/>
          </w:tcPr>
          <w:p w14:paraId="0A7BD751" w14:textId="1F699723" w:rsidR="006E08F7" w:rsidRPr="00E878B5" w:rsidRDefault="00125C0B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10" w:type="dxa"/>
            <w:noWrap/>
            <w:hideMark/>
          </w:tcPr>
          <w:p w14:paraId="4BFFE9CF" w14:textId="352593AB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8</w:t>
            </w:r>
            <w:r w:rsidR="00125C0B"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hideMark/>
          </w:tcPr>
          <w:p w14:paraId="33B98A8F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8F7" w:rsidRPr="00E878B5" w14:paraId="793ADC88" w14:textId="77777777" w:rsidTr="0020303E">
        <w:trPr>
          <w:trHeight w:val="381"/>
        </w:trPr>
        <w:tc>
          <w:tcPr>
            <w:tcW w:w="870" w:type="dxa"/>
            <w:noWrap/>
          </w:tcPr>
          <w:p w14:paraId="185C9737" w14:textId="5EB7E257" w:rsidR="006E08F7" w:rsidRPr="00E878B5" w:rsidRDefault="0020303E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625" w:type="dxa"/>
            <w:noWrap/>
          </w:tcPr>
          <w:p w14:paraId="3321E170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Savivaldybės administracija</w:t>
            </w:r>
          </w:p>
        </w:tc>
        <w:tc>
          <w:tcPr>
            <w:tcW w:w="1559" w:type="dxa"/>
            <w:noWrap/>
          </w:tcPr>
          <w:p w14:paraId="35D251F7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242,21</w:t>
            </w:r>
          </w:p>
        </w:tc>
        <w:tc>
          <w:tcPr>
            <w:tcW w:w="1310" w:type="dxa"/>
            <w:noWrap/>
          </w:tcPr>
          <w:p w14:paraId="609F471F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242,21</w:t>
            </w:r>
          </w:p>
        </w:tc>
        <w:tc>
          <w:tcPr>
            <w:tcW w:w="1264" w:type="dxa"/>
          </w:tcPr>
          <w:p w14:paraId="59785AA9" w14:textId="77777777" w:rsidR="006E08F7" w:rsidRPr="00E878B5" w:rsidRDefault="006E08F7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774B" w:rsidRPr="00E878B5" w14:paraId="0CC53A97" w14:textId="77777777" w:rsidTr="00F94CF5">
        <w:trPr>
          <w:trHeight w:val="381"/>
        </w:trPr>
        <w:tc>
          <w:tcPr>
            <w:tcW w:w="5495" w:type="dxa"/>
            <w:gridSpan w:val="2"/>
            <w:noWrap/>
          </w:tcPr>
          <w:p w14:paraId="68B8A176" w14:textId="40C439CC" w:rsidR="0014774B" w:rsidRDefault="00BA5941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14774B">
              <w:rPr>
                <w:sz w:val="20"/>
                <w:szCs w:val="20"/>
              </w:rPr>
              <w:t>IŠ VISO</w:t>
            </w:r>
          </w:p>
        </w:tc>
        <w:tc>
          <w:tcPr>
            <w:tcW w:w="1559" w:type="dxa"/>
            <w:noWrap/>
          </w:tcPr>
          <w:p w14:paraId="0E172D0C" w14:textId="43CC5876" w:rsidR="0014774B" w:rsidRDefault="0014774B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1C5053">
              <w:rPr>
                <w:sz w:val="20"/>
                <w:szCs w:val="20"/>
              </w:rPr>
              <w:t>5,99</w:t>
            </w:r>
          </w:p>
        </w:tc>
        <w:tc>
          <w:tcPr>
            <w:tcW w:w="1310" w:type="dxa"/>
            <w:noWrap/>
          </w:tcPr>
          <w:p w14:paraId="2A27DE88" w14:textId="636DA99C" w:rsidR="0014774B" w:rsidRDefault="0014774B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125C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125C0B">
              <w:rPr>
                <w:sz w:val="20"/>
                <w:szCs w:val="20"/>
              </w:rPr>
              <w:t>59</w:t>
            </w:r>
          </w:p>
        </w:tc>
        <w:tc>
          <w:tcPr>
            <w:tcW w:w="1264" w:type="dxa"/>
          </w:tcPr>
          <w:p w14:paraId="5690D196" w14:textId="6D3355F7" w:rsidR="0014774B" w:rsidRPr="00E878B5" w:rsidRDefault="0014774B" w:rsidP="001621C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C5053">
              <w:rPr>
                <w:sz w:val="20"/>
                <w:szCs w:val="20"/>
              </w:rPr>
              <w:t>3,4</w:t>
            </w:r>
          </w:p>
        </w:tc>
      </w:tr>
    </w:tbl>
    <w:p w14:paraId="622B571F" w14:textId="77777777" w:rsidR="006E08F7" w:rsidRDefault="006E08F7" w:rsidP="001621C6"/>
    <w:bookmarkEnd w:id="0"/>
    <w:p w14:paraId="40019FB4" w14:textId="3D17D863" w:rsidR="003D7972" w:rsidRPr="00DE2CDE" w:rsidRDefault="00DE2CDE" w:rsidP="00DE2CDE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195885C0" w14:textId="77777777" w:rsidR="003D7972" w:rsidRDefault="003D7972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75A3A808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227230EC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11CB8483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47A74099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76661175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44B8BA94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7DDA8A04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43EDBBE1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124D8D78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4438E932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5656EA45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5F66415D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70E686FE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56D5A1ED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2E19B2D9" w14:textId="77777777" w:rsidR="000C54C7" w:rsidRDefault="000C54C7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2AEEED40" w14:textId="77777777" w:rsidR="000C54C7" w:rsidRDefault="000C54C7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2B106F7E" w14:textId="77777777" w:rsidR="000C54C7" w:rsidRDefault="000C54C7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3091F3F0" w14:textId="77777777" w:rsidR="000C54C7" w:rsidRDefault="000C54C7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6A481CBF" w14:textId="77777777" w:rsidR="000C54C7" w:rsidRDefault="000C54C7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6B83AE11" w14:textId="77777777" w:rsidR="000C54C7" w:rsidRDefault="000C54C7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35B9A47C" w14:textId="77777777" w:rsidR="000C54C7" w:rsidRDefault="000C54C7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1930FDF1" w14:textId="77777777" w:rsidR="009D4733" w:rsidRDefault="009D4733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736AE98B" w14:textId="77777777" w:rsidR="009D4733" w:rsidRDefault="009D4733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p w14:paraId="35D879D9" w14:textId="77777777" w:rsidR="005A6E04" w:rsidRDefault="005A6E04" w:rsidP="001621C6"/>
    <w:p w14:paraId="1CA0BE75" w14:textId="77777777" w:rsidR="00CB7E2B" w:rsidRPr="005A6E04" w:rsidRDefault="00CB7E2B" w:rsidP="001621C6"/>
    <w:p w14:paraId="17490EFE" w14:textId="77777777" w:rsidR="005A6E04" w:rsidRDefault="005A6E04" w:rsidP="001621C6"/>
    <w:p w14:paraId="4712799B" w14:textId="77777777" w:rsidR="00902B28" w:rsidRDefault="00902B28" w:rsidP="001621C6"/>
    <w:p w14:paraId="0B351A62" w14:textId="77777777" w:rsidR="00902B28" w:rsidRDefault="00902B28" w:rsidP="001621C6"/>
    <w:p w14:paraId="6D333F71" w14:textId="77777777" w:rsidR="00902B28" w:rsidRDefault="00902B28" w:rsidP="001621C6"/>
    <w:p w14:paraId="780AD1FC" w14:textId="77777777" w:rsidR="00902B28" w:rsidRPr="005A6E04" w:rsidRDefault="00902B28" w:rsidP="001621C6"/>
    <w:p w14:paraId="68D0EF40" w14:textId="77777777" w:rsidR="005A6E04" w:rsidRPr="005A6E04" w:rsidRDefault="005A6E04" w:rsidP="00902B28">
      <w:pPr>
        <w:jc w:val="center"/>
        <w:rPr>
          <w:b/>
        </w:rPr>
      </w:pPr>
      <w:r w:rsidRPr="005A6E04">
        <w:rPr>
          <w:b/>
        </w:rPr>
        <w:lastRenderedPageBreak/>
        <w:t>SPRENDIMO PROJEKTO</w:t>
      </w:r>
    </w:p>
    <w:p w14:paraId="402457D4" w14:textId="34ABA380" w:rsidR="00DC063F" w:rsidRPr="002A2053" w:rsidRDefault="00902B28" w:rsidP="00902B2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>,,</w:t>
      </w:r>
      <w:r w:rsidR="00DC063F">
        <w:rPr>
          <w:b/>
          <w:szCs w:val="20"/>
        </w:rPr>
        <w:t>DĖL DIDŽIAUSIO LEISTINO</w:t>
      </w:r>
      <w:r w:rsidR="00DC063F" w:rsidRPr="00F2236F">
        <w:rPr>
          <w:lang w:eastAsia="en-US"/>
        </w:rPr>
        <w:t xml:space="preserve"> </w:t>
      </w:r>
      <w:r w:rsidR="00DC063F" w:rsidRPr="00F2236F">
        <w:rPr>
          <w:b/>
          <w:lang w:eastAsia="en-US"/>
        </w:rPr>
        <w:t>VALSTYBĖS TARNAUTOJŲ IR DARBUOTOJŲ, DIRBANČIŲ PAGAL DARBO SUTARTIS,</w:t>
      </w:r>
      <w:r w:rsidR="00DC063F">
        <w:rPr>
          <w:b/>
          <w:szCs w:val="20"/>
        </w:rPr>
        <w:t xml:space="preserve"> PAREIGYBIŲ SKAIČIAUS</w:t>
      </w:r>
      <w:r w:rsidR="00DC063F">
        <w:rPr>
          <w:b/>
        </w:rPr>
        <w:t xml:space="preserve"> PATVIRTINIMO ROKIŠKIO RAJONO SAVIVALDYBĖS BIUDŽETINĖSE ĮSTAIGOSE</w:t>
      </w:r>
      <w:r>
        <w:rPr>
          <w:b/>
        </w:rPr>
        <w:t>“</w:t>
      </w:r>
    </w:p>
    <w:p w14:paraId="29C2FB3F" w14:textId="77777777" w:rsidR="005A6E04" w:rsidRPr="005A6E04" w:rsidRDefault="005A6E04" w:rsidP="00902B28">
      <w:pPr>
        <w:jc w:val="center"/>
        <w:rPr>
          <w:b/>
        </w:rPr>
      </w:pPr>
      <w:r w:rsidRPr="005A6E04">
        <w:rPr>
          <w:b/>
        </w:rPr>
        <w:t>AIŠKINAMASIS RAŠTAS</w:t>
      </w:r>
    </w:p>
    <w:p w14:paraId="382D668B" w14:textId="77777777" w:rsidR="005A6E04" w:rsidRPr="005A6E04" w:rsidRDefault="005A6E04" w:rsidP="00902B28">
      <w:pPr>
        <w:jc w:val="center"/>
      </w:pPr>
    </w:p>
    <w:p w14:paraId="31C38DE8" w14:textId="39BADBB1" w:rsidR="005A6E04" w:rsidRPr="005A6E04" w:rsidRDefault="00024E90" w:rsidP="00902B28">
      <w:pPr>
        <w:jc w:val="center"/>
      </w:pPr>
      <w:r w:rsidRPr="00024E90">
        <w:t>2023-0</w:t>
      </w:r>
      <w:r w:rsidR="00275347">
        <w:t>9</w:t>
      </w:r>
      <w:r w:rsidRPr="00024E90">
        <w:t>-</w:t>
      </w:r>
      <w:r w:rsidR="004A408B">
        <w:t>2</w:t>
      </w:r>
      <w:r w:rsidR="00412210">
        <w:t>8</w:t>
      </w:r>
    </w:p>
    <w:p w14:paraId="3627B853" w14:textId="77777777" w:rsidR="005A6E04" w:rsidRPr="005A6E04" w:rsidRDefault="005A6E04" w:rsidP="001621C6"/>
    <w:p w14:paraId="2CD72717" w14:textId="37AC262A" w:rsidR="005A6E04" w:rsidRPr="005A6E04" w:rsidRDefault="005A6E04" w:rsidP="001621C6">
      <w:r w:rsidRPr="005A6E04">
        <w:t xml:space="preserve">Projekto rengėjas – </w:t>
      </w:r>
      <w:r w:rsidR="004A408B">
        <w:t xml:space="preserve">Finansų skyriaus vedėja </w:t>
      </w:r>
      <w:r>
        <w:t>Reda</w:t>
      </w:r>
      <w:r w:rsidR="004B0990">
        <w:t xml:space="preserve"> </w:t>
      </w:r>
      <w:r>
        <w:t>Dūdienė</w:t>
      </w:r>
      <w:r w:rsidR="00902B28">
        <w:t>.</w:t>
      </w:r>
    </w:p>
    <w:p w14:paraId="55035626" w14:textId="6240E9BB" w:rsidR="005A6E04" w:rsidRPr="005A6E04" w:rsidRDefault="005A6E04" w:rsidP="001621C6">
      <w:r w:rsidRPr="005A6E04">
        <w:t xml:space="preserve">Pranešėjas komitetų ir Tarybos posėdžiuose – </w:t>
      </w:r>
      <w:r w:rsidR="004A408B">
        <w:t>Finansų sk</w:t>
      </w:r>
      <w:r w:rsidR="001261E4">
        <w:t xml:space="preserve">yriaus vedėja </w:t>
      </w:r>
      <w:r>
        <w:t>Reda Dūdienė</w:t>
      </w:r>
      <w:r w:rsidR="00902B28">
        <w:t>.</w:t>
      </w:r>
    </w:p>
    <w:p w14:paraId="7C0CE3DE" w14:textId="77777777" w:rsidR="005A6E04" w:rsidRPr="005A6E04" w:rsidRDefault="005A6E04" w:rsidP="001621C6"/>
    <w:p w14:paraId="158EA35A" w14:textId="77777777" w:rsidR="005A6E04" w:rsidRPr="005A6E04" w:rsidRDefault="005A6E04" w:rsidP="001621C6"/>
    <w:tbl>
      <w:tblPr>
        <w:tblStyle w:val="Lentelstinklelis2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658"/>
        <w:gridCol w:w="6574"/>
      </w:tblGrid>
      <w:tr w:rsidR="005A6E04" w:rsidRPr="005A6E04" w14:paraId="3B5B046D" w14:textId="77777777" w:rsidTr="00D91E88">
        <w:trPr>
          <w:trHeight w:val="813"/>
          <w:jc w:val="center"/>
        </w:trPr>
        <w:tc>
          <w:tcPr>
            <w:tcW w:w="396" w:type="dxa"/>
          </w:tcPr>
          <w:p w14:paraId="1C1D7629" w14:textId="77777777" w:rsidR="005A6E04" w:rsidRPr="005A6E04" w:rsidRDefault="005A6E04" w:rsidP="00D91E88">
            <w:pPr>
              <w:jc w:val="both"/>
            </w:pPr>
            <w:r w:rsidRPr="005A6E04">
              <w:t>1.</w:t>
            </w:r>
          </w:p>
        </w:tc>
        <w:tc>
          <w:tcPr>
            <w:tcW w:w="2689" w:type="dxa"/>
          </w:tcPr>
          <w:p w14:paraId="314ABACB" w14:textId="77777777" w:rsidR="005A6E04" w:rsidRPr="005A6E04" w:rsidRDefault="005A6E04" w:rsidP="00D91E88">
            <w:pPr>
              <w:jc w:val="both"/>
            </w:pPr>
            <w:r w:rsidRPr="005A6E04">
              <w:t>Sprendimo projekto tikslas ir uždaviniai</w:t>
            </w:r>
          </w:p>
          <w:p w14:paraId="7D57943D" w14:textId="77777777" w:rsidR="005A6E04" w:rsidRPr="005A6E04" w:rsidRDefault="005A6E04" w:rsidP="00D91E88">
            <w:pPr>
              <w:jc w:val="both"/>
            </w:pPr>
          </w:p>
        </w:tc>
        <w:tc>
          <w:tcPr>
            <w:tcW w:w="6712" w:type="dxa"/>
          </w:tcPr>
          <w:p w14:paraId="4BE26EF5" w14:textId="530974D4" w:rsidR="005A6E04" w:rsidRPr="00511CCC" w:rsidRDefault="005A6E04" w:rsidP="00D91E88">
            <w:pPr>
              <w:tabs>
                <w:tab w:val="left" w:pos="1276"/>
              </w:tabs>
              <w:jc w:val="both"/>
              <w:rPr>
                <w:bCs/>
                <w:color w:val="000000"/>
              </w:rPr>
            </w:pPr>
            <w:r w:rsidRPr="00905272">
              <w:t>P</w:t>
            </w:r>
            <w:r w:rsidR="000C54C7">
              <w:rPr>
                <w:bCs/>
                <w:color w:val="000000"/>
              </w:rPr>
              <w:t xml:space="preserve">atvirtinti </w:t>
            </w:r>
            <w:r w:rsidRPr="00511CCC">
              <w:rPr>
                <w:bCs/>
                <w:color w:val="000000"/>
              </w:rPr>
              <w:t>didžiausią leistiną darbuotojų skaičių Rokiški</w:t>
            </w:r>
            <w:r w:rsidR="000C54C7">
              <w:rPr>
                <w:bCs/>
                <w:color w:val="000000"/>
              </w:rPr>
              <w:t xml:space="preserve">o rajono biudžetinėse įstaigose. </w:t>
            </w:r>
          </w:p>
          <w:p w14:paraId="23DEF49E" w14:textId="77777777" w:rsidR="005A6E04" w:rsidRPr="005A6E04" w:rsidRDefault="005A6E04" w:rsidP="00D91E88">
            <w:pPr>
              <w:jc w:val="both"/>
            </w:pPr>
          </w:p>
        </w:tc>
      </w:tr>
      <w:tr w:rsidR="005A6E04" w:rsidRPr="005A6E04" w14:paraId="259C43A3" w14:textId="77777777" w:rsidTr="00275347">
        <w:trPr>
          <w:trHeight w:val="983"/>
          <w:jc w:val="center"/>
        </w:trPr>
        <w:tc>
          <w:tcPr>
            <w:tcW w:w="396" w:type="dxa"/>
          </w:tcPr>
          <w:p w14:paraId="2DC597D3" w14:textId="54DC7AD8" w:rsidR="004B0990" w:rsidRDefault="005A6E04" w:rsidP="00D91E88">
            <w:pPr>
              <w:jc w:val="both"/>
            </w:pPr>
            <w:r w:rsidRPr="005A6E04">
              <w:t xml:space="preserve">2. </w:t>
            </w:r>
          </w:p>
          <w:p w14:paraId="0950162A" w14:textId="77777777" w:rsidR="005A6E04" w:rsidRPr="004B0990" w:rsidRDefault="005A6E04" w:rsidP="00D91E88">
            <w:pPr>
              <w:jc w:val="both"/>
            </w:pPr>
          </w:p>
        </w:tc>
        <w:tc>
          <w:tcPr>
            <w:tcW w:w="2689" w:type="dxa"/>
          </w:tcPr>
          <w:p w14:paraId="105E4568" w14:textId="77777777" w:rsidR="005A6E04" w:rsidRPr="005A6E04" w:rsidRDefault="005A6E04" w:rsidP="00D91E88">
            <w:pPr>
              <w:jc w:val="both"/>
            </w:pPr>
            <w:r w:rsidRPr="005A6E04">
              <w:t xml:space="preserve">Šiuo metu galiojančios ir teikiamu klausimu siūlomos naujos teisinio reguliavimo </w:t>
            </w:r>
          </w:p>
          <w:p w14:paraId="0FD906EC" w14:textId="13EB3699" w:rsidR="005A6E04" w:rsidRPr="004B0990" w:rsidRDefault="005A6E04" w:rsidP="00D91E88">
            <w:pPr>
              <w:jc w:val="both"/>
            </w:pPr>
            <w:r w:rsidRPr="005A6E04">
              <w:t>nuostatos</w:t>
            </w:r>
          </w:p>
        </w:tc>
        <w:tc>
          <w:tcPr>
            <w:tcW w:w="6712" w:type="dxa"/>
          </w:tcPr>
          <w:p w14:paraId="428E7E35" w14:textId="6F5387EB" w:rsidR="008B08FD" w:rsidRDefault="00683F59" w:rsidP="00D91E88">
            <w:pPr>
              <w:tabs>
                <w:tab w:val="left" w:pos="376"/>
                <w:tab w:val="left" w:pos="751"/>
                <w:tab w:val="left" w:pos="1701"/>
              </w:tabs>
              <w:overflowPunct w:val="0"/>
              <w:autoSpaceDE w:val="0"/>
              <w:autoSpaceDN w:val="0"/>
              <w:adjustRightInd w:val="0"/>
              <w:ind w:left="-112" w:firstLine="567"/>
              <w:jc w:val="both"/>
              <w:rPr>
                <w:lang w:eastAsia="en-US"/>
              </w:rPr>
            </w:pPr>
            <w:r w:rsidRPr="00511CCC">
              <w:rPr>
                <w:color w:val="000000"/>
              </w:rPr>
              <w:t>Lietuvos Respublikos vietos savivaldos įstatymo</w:t>
            </w:r>
            <w:r>
              <w:rPr>
                <w:color w:val="000000"/>
              </w:rPr>
              <w:t xml:space="preserve"> </w:t>
            </w:r>
            <w:r>
              <w:t>15 straipsnio 2</w:t>
            </w:r>
            <w:r w:rsidRPr="002A2053">
              <w:t xml:space="preserve"> dali</w:t>
            </w:r>
            <w:r>
              <w:t>es 9 punktas nustato, kad išimtinė savivaldybės tarybos teisė yra „</w:t>
            </w:r>
            <w:r w:rsidRPr="004B0990">
              <w:rPr>
                <w:lang w:eastAsia="en-US"/>
              </w:rPr>
              <w:t>didžiausio leistino valstybės tarnautojų ir darbuotojų, dirbančių pagal darbo sutartis, pareigybių skaičiaus savivaldybės biudžetinėse įstaigose nustatymas mero teikimu</w:t>
            </w:r>
            <w:r>
              <w:rPr>
                <w:lang w:eastAsia="en-US"/>
              </w:rPr>
              <w:t>“. Sprendimu tvirtinamas visų biudžetinių įstaigų didžiausias leistinas pareigybių skaičius.</w:t>
            </w:r>
          </w:p>
          <w:p w14:paraId="7E25750A" w14:textId="3B817675" w:rsidR="00683F59" w:rsidRDefault="00683F59" w:rsidP="00D91E88">
            <w:pPr>
              <w:tabs>
                <w:tab w:val="left" w:pos="376"/>
                <w:tab w:val="left" w:pos="751"/>
                <w:tab w:val="left" w:pos="1701"/>
              </w:tabs>
              <w:overflowPunct w:val="0"/>
              <w:autoSpaceDE w:val="0"/>
              <w:autoSpaceDN w:val="0"/>
              <w:adjustRightInd w:val="0"/>
              <w:ind w:left="-112"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Iš viso didžiausias leistinas pareigybių skaičius didinamas </w:t>
            </w:r>
            <w:r w:rsidR="001C5053">
              <w:rPr>
                <w:bCs/>
                <w:color w:val="000000"/>
              </w:rPr>
              <w:t>2,2</w:t>
            </w:r>
            <w:r>
              <w:rPr>
                <w:bCs/>
                <w:color w:val="000000"/>
              </w:rPr>
              <w:t xml:space="preserve"> pareigybės ir sudarys </w:t>
            </w:r>
            <w:r w:rsidR="00DF185D">
              <w:rPr>
                <w:bCs/>
                <w:color w:val="000000"/>
              </w:rPr>
              <w:t>167</w:t>
            </w:r>
            <w:r w:rsidR="001C5053">
              <w:rPr>
                <w:bCs/>
                <w:color w:val="000000"/>
              </w:rPr>
              <w:t>5,99</w:t>
            </w:r>
            <w:r w:rsidR="00DF185D">
              <w:rPr>
                <w:bCs/>
                <w:color w:val="000000"/>
              </w:rPr>
              <w:t>.</w:t>
            </w:r>
          </w:p>
          <w:p w14:paraId="0B62F563" w14:textId="6E6C9D3F" w:rsidR="00DF185D" w:rsidRDefault="00DF185D" w:rsidP="00D91E88">
            <w:pPr>
              <w:tabs>
                <w:tab w:val="left" w:pos="376"/>
                <w:tab w:val="left" w:pos="751"/>
                <w:tab w:val="left" w:pos="1701"/>
              </w:tabs>
              <w:overflowPunct w:val="0"/>
              <w:autoSpaceDE w:val="0"/>
              <w:autoSpaceDN w:val="0"/>
              <w:adjustRightInd w:val="0"/>
              <w:ind w:left="-112"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Pareigybių skaičius tikslinamas:</w:t>
            </w:r>
          </w:p>
          <w:p w14:paraId="30DB31A2" w14:textId="77777777" w:rsidR="00DF185D" w:rsidRPr="00DF185D" w:rsidRDefault="00DF185D" w:rsidP="00D91E88">
            <w:pPr>
              <w:pStyle w:val="Sraopastraip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t xml:space="preserve">pagal Mokinių registro duomenis mokinių skaičius 2023 m. </w:t>
            </w:r>
          </w:p>
          <w:p w14:paraId="2133B5E6" w14:textId="7F56FAB2" w:rsidR="00DF185D" w:rsidRPr="00DF185D" w:rsidRDefault="00DF185D" w:rsidP="00D91E88">
            <w:pPr>
              <w:jc w:val="both"/>
            </w:pPr>
            <w:r>
              <w:t>rugsėjo 1 d. sumažėjo 78. Bendrojo ugdymo mokytojų pareigybių skaičius mažėja</w:t>
            </w:r>
            <w:r w:rsidR="001C5053">
              <w:t xml:space="preserve">  10,82</w:t>
            </w:r>
            <w:r>
              <w:t>;</w:t>
            </w:r>
          </w:p>
          <w:p w14:paraId="6E206735" w14:textId="77777777" w:rsidR="00DF185D" w:rsidRDefault="00DF185D" w:rsidP="00D91E88">
            <w:pPr>
              <w:pStyle w:val="Sraopastraipa"/>
              <w:numPr>
                <w:ilvl w:val="0"/>
                <w:numId w:val="19"/>
              </w:numPr>
              <w:jc w:val="both"/>
            </w:pPr>
            <w:r>
              <w:t xml:space="preserve">nuo 2023 m. rugsėjo 1 d. pasikeitus mokytojų, dirbančių </w:t>
            </w:r>
          </w:p>
          <w:p w14:paraId="450CE06D" w14:textId="72922C2B" w:rsidR="00DF185D" w:rsidRDefault="00DF185D" w:rsidP="00D91E88">
            <w:pPr>
              <w:jc w:val="both"/>
            </w:pPr>
            <w:r>
              <w:t>pagal ikimokyklinio ir priešmokyklinio ugdymo programas, darbo krūvio sandarai, ikimokyklinio ugdymo mokytojų pareigybių skaičius didėja 2,37 pareigybės;</w:t>
            </w:r>
          </w:p>
          <w:p w14:paraId="009ED43D" w14:textId="42453BD6" w:rsidR="00DF185D" w:rsidRDefault="00994402" w:rsidP="00D91E88">
            <w:pPr>
              <w:pStyle w:val="Sraopastraipa"/>
              <w:numPr>
                <w:ilvl w:val="0"/>
                <w:numId w:val="19"/>
              </w:numPr>
              <w:jc w:val="both"/>
            </w:pPr>
            <w:r>
              <w:t>d</w:t>
            </w:r>
            <w:r w:rsidR="00DF185D">
              <w:t xml:space="preserve">ėl naujos grupės Laibgalių ikimokyklinio ir </w:t>
            </w:r>
          </w:p>
          <w:p w14:paraId="26E43814" w14:textId="5AB322BB" w:rsidR="00DF185D" w:rsidRDefault="00DF185D" w:rsidP="00D91E88">
            <w:pPr>
              <w:jc w:val="both"/>
            </w:pPr>
            <w:r>
              <w:t>priešmokyklinio ugdymo sk</w:t>
            </w:r>
            <w:r w:rsidR="00902B28">
              <w:t>yriuje</w:t>
            </w:r>
            <w:r>
              <w:t xml:space="preserve"> papildomai steigiama 0,15 meninio ugdymo mokytojo pareigybės;</w:t>
            </w:r>
          </w:p>
          <w:p w14:paraId="47378FFC" w14:textId="40BE79DC" w:rsidR="00DF185D" w:rsidRDefault="00DF185D" w:rsidP="00D91E88">
            <w:pPr>
              <w:pStyle w:val="Sraopastraipa"/>
              <w:numPr>
                <w:ilvl w:val="0"/>
                <w:numId w:val="19"/>
              </w:numPr>
              <w:jc w:val="both"/>
            </w:pPr>
            <w:r>
              <w:t>pagal Pedagoginės-psichologinės tarnybos išvadas dėl</w:t>
            </w:r>
          </w:p>
          <w:p w14:paraId="711E973D" w14:textId="610DB962" w:rsidR="00DF185D" w:rsidRDefault="00DF185D" w:rsidP="00D91E88">
            <w:pPr>
              <w:jc w:val="both"/>
            </w:pPr>
            <w:r>
              <w:t>mokinių, turinčių specialiųjų ugdymosi poreikių, didinama 11 mokytojo padėjėjų pareigybių;</w:t>
            </w:r>
          </w:p>
          <w:p w14:paraId="43923B26" w14:textId="77777777" w:rsidR="00DF185D" w:rsidRDefault="00DF185D" w:rsidP="00D91E88">
            <w:pPr>
              <w:pStyle w:val="Sraopastraipa"/>
              <w:numPr>
                <w:ilvl w:val="0"/>
                <w:numId w:val="19"/>
              </w:numPr>
              <w:jc w:val="both"/>
            </w:pPr>
            <w:r>
              <w:t>pagal Pedagoginės-psichologinės tarnybos išvadas</w:t>
            </w:r>
          </w:p>
          <w:p w14:paraId="7EBBE17A" w14:textId="36BCE13B" w:rsidR="00902B28" w:rsidRDefault="00902B28" w:rsidP="00D91E88">
            <w:pPr>
              <w:jc w:val="both"/>
            </w:pPr>
            <w:r>
              <w:t>š</w:t>
            </w:r>
            <w:r w:rsidR="00DF185D">
              <w:t>vietimo pagalbos specialistų (spec.</w:t>
            </w:r>
            <w:r w:rsidR="00994402">
              <w:t xml:space="preserve"> </w:t>
            </w:r>
            <w:r w:rsidR="00DF185D">
              <w:t>pedagogas, logopedas, judesio korekcijos specialistas) didinama 1,7 pareigybės</w:t>
            </w:r>
            <w:r>
              <w:t>;</w:t>
            </w:r>
          </w:p>
          <w:p w14:paraId="3D357988" w14:textId="71A68128" w:rsidR="00902B28" w:rsidRDefault="00DF185D" w:rsidP="00D91E88">
            <w:pPr>
              <w:ind w:firstLine="233"/>
              <w:jc w:val="both"/>
            </w:pPr>
            <w:r>
              <w:t>6)</w:t>
            </w:r>
            <w:r w:rsidR="00994402">
              <w:t xml:space="preserve"> </w:t>
            </w:r>
            <w:r>
              <w:t>Pandėlio gimnazijai mažinama 1,25 buhalterio pareigybės (apskaita centralizuota), Obelių gimnazijai mažinama 0,2 valytojo pareigybės (pagal vidaus audito išvadas), Juodupės l</w:t>
            </w:r>
            <w:r w:rsidR="00902B28">
              <w:t>.-d.</w:t>
            </w:r>
            <w:r>
              <w:t xml:space="preserve"> ir Kamajų gimnazijai didinama po 0,5 pareigybės (klaidos taisymas);</w:t>
            </w:r>
          </w:p>
          <w:p w14:paraId="06C015FF" w14:textId="77777777" w:rsidR="00D91E88" w:rsidRDefault="00DF185D" w:rsidP="00D91E88">
            <w:pPr>
              <w:ind w:firstLine="233"/>
              <w:jc w:val="both"/>
            </w:pPr>
            <w:r>
              <w:t xml:space="preserve">7) </w:t>
            </w:r>
            <w:r w:rsidRPr="00EF05D0">
              <w:t>Obelių socialinių paslaugų namams mažinama 1,75 pareigybės.</w:t>
            </w:r>
            <w:r w:rsidR="00EF05D0" w:rsidRPr="00EF05D0">
              <w:t xml:space="preserve"> Sustabdžius veiklą bendruomeninių namų padalinio </w:t>
            </w:r>
            <w:r w:rsidR="00902B28">
              <w:t>(</w:t>
            </w:r>
            <w:r w:rsidR="00EF05D0" w:rsidRPr="00EF05D0">
              <w:t>Stasiūnų k., Obelių sen.</w:t>
            </w:r>
            <w:r w:rsidR="00902B28">
              <w:t>)</w:t>
            </w:r>
            <w:r w:rsidR="00EF05D0" w:rsidRPr="00EF05D0">
              <w:t xml:space="preserve"> </w:t>
            </w:r>
            <w:r w:rsidR="00902B28">
              <w:t xml:space="preserve">veiklą </w:t>
            </w:r>
            <w:r w:rsidR="00EF05D0" w:rsidRPr="00EF05D0">
              <w:t>ir išaugus socialinių paslaugų poreikiui Šeimos ir vaiko gerovės skyriuje, steigiam</w:t>
            </w:r>
            <w:r w:rsidR="00D91E88">
              <w:t>os</w:t>
            </w:r>
            <w:r w:rsidR="00EF05D0" w:rsidRPr="00EF05D0">
              <w:t xml:space="preserve"> nauj</w:t>
            </w:r>
            <w:r w:rsidR="00EF05D0">
              <w:t>os pareigybės</w:t>
            </w:r>
            <w:r w:rsidR="00EF05D0" w:rsidRPr="00EF05D0">
              <w:t xml:space="preserve">: 1 atvejo vadybininko, 2 individualios priežiūros darbuotojo, Vaikų dienos ir Krizių centruose </w:t>
            </w:r>
            <w:r w:rsidR="00D91E88">
              <w:t xml:space="preserve">1 </w:t>
            </w:r>
            <w:r w:rsidR="00EF05D0" w:rsidRPr="00EF05D0">
              <w:t xml:space="preserve">užimtumo specialisto </w:t>
            </w:r>
            <w:r w:rsidR="00EF05D0">
              <w:t>pareigybė.</w:t>
            </w:r>
          </w:p>
          <w:p w14:paraId="48CA57E8" w14:textId="7826E22F" w:rsidR="00DF185D" w:rsidRDefault="00EF05D0" w:rsidP="00D91E88">
            <w:pPr>
              <w:ind w:firstLine="233"/>
              <w:jc w:val="both"/>
            </w:pPr>
            <w:r>
              <w:lastRenderedPageBreak/>
              <w:t>Didžiausio leistino pareigybių skaičiaus pokytis pateiktas papildomoje lentelėje.</w:t>
            </w:r>
          </w:p>
          <w:p w14:paraId="06FCA6EB" w14:textId="6EE2ECBB" w:rsidR="00DF185D" w:rsidRPr="00E44290" w:rsidRDefault="00DF185D" w:rsidP="00D91E88">
            <w:pPr>
              <w:jc w:val="both"/>
              <w:rPr>
                <w:bCs/>
                <w:color w:val="000000"/>
              </w:rPr>
            </w:pPr>
          </w:p>
        </w:tc>
      </w:tr>
      <w:tr w:rsidR="005A6E04" w:rsidRPr="005A6E04" w14:paraId="416F3B30" w14:textId="77777777" w:rsidTr="00D91E88">
        <w:trPr>
          <w:jc w:val="center"/>
        </w:trPr>
        <w:tc>
          <w:tcPr>
            <w:tcW w:w="396" w:type="dxa"/>
          </w:tcPr>
          <w:p w14:paraId="76DB9BE1" w14:textId="3692CB29" w:rsidR="005A6E04" w:rsidRPr="005A6E04" w:rsidRDefault="005A6E04" w:rsidP="00D91E88">
            <w:pPr>
              <w:jc w:val="both"/>
            </w:pPr>
            <w:r w:rsidRPr="005A6E04">
              <w:lastRenderedPageBreak/>
              <w:t>3.</w:t>
            </w:r>
          </w:p>
        </w:tc>
        <w:tc>
          <w:tcPr>
            <w:tcW w:w="2689" w:type="dxa"/>
          </w:tcPr>
          <w:p w14:paraId="6150D64A" w14:textId="5156090E" w:rsidR="005A6E04" w:rsidRPr="005A6E04" w:rsidRDefault="005A6E04" w:rsidP="00D91E88">
            <w:pPr>
              <w:jc w:val="both"/>
            </w:pPr>
            <w:r w:rsidRPr="005A6E04">
              <w:t>Laukiami rezultatai</w:t>
            </w:r>
          </w:p>
        </w:tc>
        <w:tc>
          <w:tcPr>
            <w:tcW w:w="6712" w:type="dxa"/>
          </w:tcPr>
          <w:p w14:paraId="547AA154" w14:textId="3F5D750A" w:rsidR="004B0990" w:rsidRPr="004B0990" w:rsidRDefault="004B0990" w:rsidP="00D91E88">
            <w:pPr>
              <w:jc w:val="both"/>
            </w:pPr>
            <w:r>
              <w:t>Sprendimas atitiks teisės aktų reikalavimus ir įvykdytus struktūrinius įstaigų pakeitimus.</w:t>
            </w:r>
          </w:p>
        </w:tc>
      </w:tr>
      <w:tr w:rsidR="005A6E04" w:rsidRPr="005A6E04" w14:paraId="217C0E64" w14:textId="77777777" w:rsidTr="00D91E88">
        <w:trPr>
          <w:jc w:val="center"/>
        </w:trPr>
        <w:tc>
          <w:tcPr>
            <w:tcW w:w="396" w:type="dxa"/>
          </w:tcPr>
          <w:p w14:paraId="633E8477" w14:textId="77777777" w:rsidR="005A6E04" w:rsidRPr="005A6E04" w:rsidRDefault="005A6E04" w:rsidP="00D91E88">
            <w:pPr>
              <w:jc w:val="both"/>
            </w:pPr>
            <w:r w:rsidRPr="005A6E04">
              <w:t xml:space="preserve">4. </w:t>
            </w:r>
          </w:p>
        </w:tc>
        <w:tc>
          <w:tcPr>
            <w:tcW w:w="2689" w:type="dxa"/>
          </w:tcPr>
          <w:p w14:paraId="706CB5E0" w14:textId="77777777" w:rsidR="005A6E04" w:rsidRPr="005A6E04" w:rsidRDefault="005A6E04" w:rsidP="00D91E88">
            <w:pPr>
              <w:jc w:val="both"/>
            </w:pPr>
            <w:r w:rsidRPr="005A6E04">
              <w:t>Lėšų poreikis ir šaltiniai</w:t>
            </w:r>
          </w:p>
          <w:p w14:paraId="635DFDB7" w14:textId="77777777" w:rsidR="005A6E04" w:rsidRPr="005A6E04" w:rsidRDefault="005A6E04" w:rsidP="00D91E88">
            <w:pPr>
              <w:jc w:val="both"/>
            </w:pPr>
          </w:p>
        </w:tc>
        <w:tc>
          <w:tcPr>
            <w:tcW w:w="6712" w:type="dxa"/>
          </w:tcPr>
          <w:p w14:paraId="27DB41E7" w14:textId="47683BFC" w:rsidR="005A6E04" w:rsidRPr="005A6E04" w:rsidRDefault="00053768" w:rsidP="00D91E88">
            <w:pPr>
              <w:jc w:val="both"/>
            </w:pPr>
            <w:r>
              <w:t>Ar bus reikalingas papildomas lėšų poreikis, paaiškės</w:t>
            </w:r>
            <w:r w:rsidR="00D91E88">
              <w:t>,</w:t>
            </w:r>
            <w:r>
              <w:t xml:space="preserve"> kai Švietimo ir sporto ministerija perskirstys mokymo lėšas š.</w:t>
            </w:r>
            <w:r w:rsidR="00D91E88">
              <w:t xml:space="preserve"> </w:t>
            </w:r>
            <w:r>
              <w:t>m. rugsėjo</w:t>
            </w:r>
            <w:r w:rsidR="00D91E88">
              <w:t>–</w:t>
            </w:r>
            <w:r>
              <w:t>gruodžio mėn.</w:t>
            </w:r>
          </w:p>
        </w:tc>
      </w:tr>
      <w:tr w:rsidR="005A6E04" w:rsidRPr="005A6E04" w14:paraId="58D3CCB7" w14:textId="77777777" w:rsidTr="00D91E88">
        <w:trPr>
          <w:jc w:val="center"/>
        </w:trPr>
        <w:tc>
          <w:tcPr>
            <w:tcW w:w="396" w:type="dxa"/>
          </w:tcPr>
          <w:p w14:paraId="2F40D324" w14:textId="77777777" w:rsidR="005A6E04" w:rsidRPr="005A6E04" w:rsidRDefault="005A6E04" w:rsidP="00D91E88">
            <w:pPr>
              <w:jc w:val="both"/>
            </w:pPr>
            <w:r w:rsidRPr="005A6E04">
              <w:t xml:space="preserve">5. </w:t>
            </w:r>
          </w:p>
        </w:tc>
        <w:tc>
          <w:tcPr>
            <w:tcW w:w="2689" w:type="dxa"/>
          </w:tcPr>
          <w:p w14:paraId="64F0EA7C" w14:textId="77777777" w:rsidR="005A6E04" w:rsidRPr="005A6E04" w:rsidRDefault="005A6E04" w:rsidP="00D91E88">
            <w:pPr>
              <w:jc w:val="both"/>
            </w:pPr>
            <w:r w:rsidRPr="005A6E04">
              <w:t>Antikorupcinis sprendimo projekto vertinimas</w:t>
            </w:r>
          </w:p>
        </w:tc>
        <w:tc>
          <w:tcPr>
            <w:tcW w:w="6712" w:type="dxa"/>
          </w:tcPr>
          <w:p w14:paraId="09609228" w14:textId="77777777" w:rsidR="005A6E04" w:rsidRPr="005A6E04" w:rsidRDefault="005A6E04" w:rsidP="00D91E88">
            <w:pPr>
              <w:jc w:val="both"/>
            </w:pPr>
          </w:p>
        </w:tc>
      </w:tr>
      <w:tr w:rsidR="005A6E04" w:rsidRPr="005A6E04" w14:paraId="5D5F66E2" w14:textId="77777777" w:rsidTr="00D91E88">
        <w:trPr>
          <w:jc w:val="center"/>
        </w:trPr>
        <w:tc>
          <w:tcPr>
            <w:tcW w:w="396" w:type="dxa"/>
          </w:tcPr>
          <w:p w14:paraId="50616D8F" w14:textId="77777777" w:rsidR="005A6E04" w:rsidRPr="005A6E04" w:rsidRDefault="005A6E04" w:rsidP="00D91E88">
            <w:pPr>
              <w:jc w:val="both"/>
            </w:pPr>
            <w:r w:rsidRPr="005A6E04">
              <w:t xml:space="preserve">6. </w:t>
            </w:r>
          </w:p>
        </w:tc>
        <w:tc>
          <w:tcPr>
            <w:tcW w:w="2689" w:type="dxa"/>
          </w:tcPr>
          <w:p w14:paraId="44B4E210" w14:textId="77777777" w:rsidR="005A6E04" w:rsidRPr="005A6E04" w:rsidRDefault="005A6E04" w:rsidP="00D91E88">
            <w:pPr>
              <w:jc w:val="both"/>
            </w:pPr>
            <w:r w:rsidRPr="005A6E04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6A5154DB" w14:textId="77777777" w:rsidR="005A6E04" w:rsidRPr="005A6E04" w:rsidRDefault="005A6E04" w:rsidP="00D91E88">
            <w:pPr>
              <w:jc w:val="both"/>
            </w:pPr>
          </w:p>
          <w:p w14:paraId="4D31359E" w14:textId="77777777" w:rsidR="005A6E04" w:rsidRPr="005A6E04" w:rsidRDefault="005A6E04" w:rsidP="00D91E88">
            <w:pPr>
              <w:jc w:val="both"/>
            </w:pPr>
          </w:p>
        </w:tc>
        <w:tc>
          <w:tcPr>
            <w:tcW w:w="6712" w:type="dxa"/>
          </w:tcPr>
          <w:p w14:paraId="3216FC76" w14:textId="58CD8C57" w:rsidR="003C27FD" w:rsidRDefault="000C3E59" w:rsidP="00D91E8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 xml:space="preserve">Pridedama sprendimo priedo pakeitimai, lyginant </w:t>
            </w:r>
            <w:r w:rsidR="00D91E88">
              <w:t xml:space="preserve">juos </w:t>
            </w:r>
            <w:r>
              <w:t xml:space="preserve">su </w:t>
            </w:r>
            <w:r>
              <w:rPr>
                <w:bCs/>
                <w:color w:val="000000"/>
              </w:rPr>
              <w:t>Rokiškio</w:t>
            </w:r>
          </w:p>
          <w:p w14:paraId="5E55AC27" w14:textId="6413E304" w:rsidR="003C27FD" w:rsidRDefault="000C3E59" w:rsidP="00D91E8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  <w:color w:val="000000"/>
              </w:rPr>
              <w:t xml:space="preserve">rajono savivaldybės </w:t>
            </w:r>
            <w:r w:rsidRPr="00262468">
              <w:rPr>
                <w:szCs w:val="20"/>
              </w:rPr>
              <w:t xml:space="preserve">tarybos </w:t>
            </w:r>
            <w:r w:rsidR="003C27FD">
              <w:rPr>
                <w:bCs/>
                <w:color w:val="000000"/>
              </w:rPr>
              <w:t>2023 m. birželio 29 d.</w:t>
            </w:r>
            <w:r w:rsidR="00961A8D">
              <w:rPr>
                <w:bCs/>
                <w:color w:val="000000"/>
              </w:rPr>
              <w:t xml:space="preserve"> </w:t>
            </w:r>
            <w:r w:rsidR="003C27FD">
              <w:rPr>
                <w:bCs/>
                <w:color w:val="000000"/>
              </w:rPr>
              <w:t>sprendimu Nr. TS-237 „D</w:t>
            </w:r>
            <w:r w:rsidR="003C27FD" w:rsidRPr="008235FC">
              <w:rPr>
                <w:bCs/>
                <w:szCs w:val="20"/>
              </w:rPr>
              <w:t>ėl didžiausio leistino</w:t>
            </w:r>
            <w:r w:rsidR="003C27FD" w:rsidRPr="008235FC">
              <w:rPr>
                <w:bCs/>
                <w:lang w:eastAsia="en-US"/>
              </w:rPr>
              <w:t xml:space="preserve"> valstybės tarnautojų ir darbuotojų, dirbančių pagal</w:t>
            </w:r>
            <w:r w:rsidR="003C27FD">
              <w:rPr>
                <w:bCs/>
                <w:lang w:eastAsia="en-US"/>
              </w:rPr>
              <w:t xml:space="preserve"> </w:t>
            </w:r>
            <w:r w:rsidR="003C27FD" w:rsidRPr="008235FC">
              <w:rPr>
                <w:bCs/>
                <w:lang w:eastAsia="en-US"/>
              </w:rPr>
              <w:t>darbo sutartis,</w:t>
            </w:r>
            <w:r w:rsidR="003C27FD" w:rsidRPr="008235FC">
              <w:rPr>
                <w:bCs/>
                <w:szCs w:val="20"/>
              </w:rPr>
              <w:t xml:space="preserve"> pareigybių skaičiaus</w:t>
            </w:r>
            <w:r w:rsidR="003C27FD" w:rsidRPr="008235FC">
              <w:rPr>
                <w:bCs/>
              </w:rPr>
              <w:t xml:space="preserve"> patvirtinimo </w:t>
            </w:r>
            <w:r w:rsidR="003C27FD">
              <w:rPr>
                <w:bCs/>
              </w:rPr>
              <w:t>R</w:t>
            </w:r>
            <w:r w:rsidR="003C27FD" w:rsidRPr="008235FC">
              <w:rPr>
                <w:bCs/>
              </w:rPr>
              <w:t>okiškio rajono savivaldybės biudžetinėse įstaigose</w:t>
            </w:r>
            <w:r w:rsidR="003C27FD">
              <w:rPr>
                <w:bCs/>
              </w:rPr>
              <w:t>“.</w:t>
            </w:r>
          </w:p>
          <w:p w14:paraId="73E2C2FD" w14:textId="6F4260ED" w:rsidR="005A6E04" w:rsidRPr="005A6E04" w:rsidRDefault="005A6E04" w:rsidP="00D91E88">
            <w:pPr>
              <w:jc w:val="both"/>
            </w:pPr>
          </w:p>
        </w:tc>
      </w:tr>
      <w:tr w:rsidR="005A6E04" w:rsidRPr="005A6E04" w14:paraId="3BAE9B64" w14:textId="77777777" w:rsidTr="00D91E88">
        <w:trPr>
          <w:jc w:val="center"/>
        </w:trPr>
        <w:tc>
          <w:tcPr>
            <w:tcW w:w="396" w:type="dxa"/>
          </w:tcPr>
          <w:p w14:paraId="2FFAD96C" w14:textId="77777777" w:rsidR="005A6E04" w:rsidRPr="005A6E04" w:rsidRDefault="005A6E04" w:rsidP="00D91E88">
            <w:pPr>
              <w:jc w:val="both"/>
            </w:pPr>
            <w:r w:rsidRPr="005A6E04">
              <w:t>7.</w:t>
            </w:r>
          </w:p>
        </w:tc>
        <w:tc>
          <w:tcPr>
            <w:tcW w:w="2689" w:type="dxa"/>
          </w:tcPr>
          <w:p w14:paraId="4573DE99" w14:textId="77777777" w:rsidR="005A6E04" w:rsidRPr="005A6E04" w:rsidRDefault="005A6E04" w:rsidP="00D91E88">
            <w:pPr>
              <w:jc w:val="both"/>
            </w:pPr>
            <w:r w:rsidRPr="005A6E04">
              <w:t>Sprendimo projekto lyginamasis variantas (jeigu teikiamas sprendimo pakeitimo projektas)</w:t>
            </w:r>
          </w:p>
          <w:p w14:paraId="092F6FAC" w14:textId="77777777" w:rsidR="005A6E04" w:rsidRPr="005A6E04" w:rsidRDefault="005A6E04" w:rsidP="00D91E88">
            <w:pPr>
              <w:jc w:val="both"/>
            </w:pPr>
          </w:p>
        </w:tc>
        <w:tc>
          <w:tcPr>
            <w:tcW w:w="6712" w:type="dxa"/>
          </w:tcPr>
          <w:p w14:paraId="7BDBD606" w14:textId="35AE82AC" w:rsidR="005A6E04" w:rsidRPr="005A6E04" w:rsidRDefault="00D91E88" w:rsidP="00D91E88">
            <w:pPr>
              <w:jc w:val="both"/>
            </w:pPr>
            <w:r>
              <w:t>N</w:t>
            </w:r>
            <w:r w:rsidR="000C3E59">
              <w:t>ėra</w:t>
            </w:r>
            <w:r>
              <w:t>.</w:t>
            </w:r>
          </w:p>
        </w:tc>
      </w:tr>
    </w:tbl>
    <w:p w14:paraId="348C24DE" w14:textId="77777777" w:rsidR="005A6E04" w:rsidRPr="005A6E04" w:rsidRDefault="005A6E04" w:rsidP="00D91E88">
      <w:pPr>
        <w:jc w:val="both"/>
      </w:pPr>
    </w:p>
    <w:p w14:paraId="7F6F34CF" w14:textId="77777777" w:rsidR="005A6E04" w:rsidRPr="005A6E04" w:rsidRDefault="005A6E04" w:rsidP="00D91E88">
      <w:pPr>
        <w:jc w:val="both"/>
      </w:pPr>
    </w:p>
    <w:p w14:paraId="6849D312" w14:textId="77777777" w:rsidR="005A6E04" w:rsidRPr="005A6E04" w:rsidRDefault="005A6E04" w:rsidP="001621C6"/>
    <w:p w14:paraId="73334CB3" w14:textId="77777777" w:rsidR="005A6E04" w:rsidRPr="005A6E04" w:rsidRDefault="005A6E04" w:rsidP="001621C6"/>
    <w:p w14:paraId="2FB0BA83" w14:textId="77777777" w:rsidR="005A6E04" w:rsidRDefault="005A6E04" w:rsidP="001621C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sectPr w:rsidR="005A6E04" w:rsidSect="00360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EF02" w14:textId="77777777" w:rsidR="00FC7419" w:rsidRDefault="00FC7419" w:rsidP="00AF4743">
      <w:r>
        <w:separator/>
      </w:r>
    </w:p>
  </w:endnote>
  <w:endnote w:type="continuationSeparator" w:id="0">
    <w:p w14:paraId="36472F0A" w14:textId="77777777" w:rsidR="00FC7419" w:rsidRDefault="00FC7419" w:rsidP="00AF4743">
      <w:r>
        <w:continuationSeparator/>
      </w:r>
    </w:p>
  </w:endnote>
  <w:endnote w:type="continuationNotice" w:id="1">
    <w:p w14:paraId="4E4D222E" w14:textId="77777777" w:rsidR="00FC7419" w:rsidRDefault="00FC7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1552" w14:textId="77777777" w:rsidR="00C635CD" w:rsidRDefault="00C635C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6360" w14:textId="77777777" w:rsidR="00C635CD" w:rsidRDefault="00C635C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7E4" w14:textId="77777777" w:rsidR="00C635CD" w:rsidRDefault="00C635C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A9BB" w14:textId="77777777" w:rsidR="00FC7419" w:rsidRDefault="00FC7419" w:rsidP="00AF4743">
      <w:r>
        <w:separator/>
      </w:r>
    </w:p>
  </w:footnote>
  <w:footnote w:type="continuationSeparator" w:id="0">
    <w:p w14:paraId="611A4542" w14:textId="77777777" w:rsidR="00FC7419" w:rsidRDefault="00FC7419" w:rsidP="00AF4743">
      <w:r>
        <w:continuationSeparator/>
      </w:r>
    </w:p>
  </w:footnote>
  <w:footnote w:type="continuationNotice" w:id="1">
    <w:p w14:paraId="71E56463" w14:textId="77777777" w:rsidR="00FC7419" w:rsidRDefault="00FC7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E1B7" w14:textId="77777777" w:rsidR="00C635CD" w:rsidRDefault="00C635C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91E7" w14:textId="1CFE7B3F" w:rsidR="00360AA3" w:rsidRPr="00360AA3" w:rsidRDefault="00C635CD" w:rsidP="00360AA3">
    <w:pPr>
      <w:pStyle w:val="Antrats"/>
      <w:jc w:val="center"/>
    </w:pPr>
    <w:r>
      <w:tab/>
    </w:r>
    <w:r>
      <w:tab/>
      <w:t xml:space="preserve">Projektas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2149" w14:textId="77777777" w:rsidR="00C635CD" w:rsidRDefault="00C635C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B414E"/>
    <w:multiLevelType w:val="hybridMultilevel"/>
    <w:tmpl w:val="9918D728"/>
    <w:lvl w:ilvl="0" w:tplc="FA22727C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0A87766"/>
    <w:multiLevelType w:val="multilevel"/>
    <w:tmpl w:val="B296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2" w:hanging="1800"/>
      </w:pPr>
      <w:rPr>
        <w:rFonts w:hint="default"/>
      </w:rPr>
    </w:lvl>
  </w:abstractNum>
  <w:abstractNum w:abstractNumId="10" w15:restartNumberingAfterBreak="0">
    <w:nsid w:val="51BC51CB"/>
    <w:multiLevelType w:val="hybridMultilevel"/>
    <w:tmpl w:val="B2E20B52"/>
    <w:lvl w:ilvl="0" w:tplc="81E014BC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41" w:hanging="360"/>
      </w:pPr>
    </w:lvl>
    <w:lvl w:ilvl="2" w:tplc="0427001B" w:tentative="1">
      <w:start w:val="1"/>
      <w:numFmt w:val="lowerRoman"/>
      <w:lvlText w:val="%3."/>
      <w:lvlJc w:val="right"/>
      <w:pPr>
        <w:ind w:left="3561" w:hanging="180"/>
      </w:pPr>
    </w:lvl>
    <w:lvl w:ilvl="3" w:tplc="0427000F" w:tentative="1">
      <w:start w:val="1"/>
      <w:numFmt w:val="decimal"/>
      <w:lvlText w:val="%4."/>
      <w:lvlJc w:val="left"/>
      <w:pPr>
        <w:ind w:left="4281" w:hanging="360"/>
      </w:pPr>
    </w:lvl>
    <w:lvl w:ilvl="4" w:tplc="04270019" w:tentative="1">
      <w:start w:val="1"/>
      <w:numFmt w:val="lowerLetter"/>
      <w:lvlText w:val="%5."/>
      <w:lvlJc w:val="left"/>
      <w:pPr>
        <w:ind w:left="5001" w:hanging="360"/>
      </w:pPr>
    </w:lvl>
    <w:lvl w:ilvl="5" w:tplc="0427001B" w:tentative="1">
      <w:start w:val="1"/>
      <w:numFmt w:val="lowerRoman"/>
      <w:lvlText w:val="%6."/>
      <w:lvlJc w:val="right"/>
      <w:pPr>
        <w:ind w:left="5721" w:hanging="180"/>
      </w:pPr>
    </w:lvl>
    <w:lvl w:ilvl="6" w:tplc="0427000F" w:tentative="1">
      <w:start w:val="1"/>
      <w:numFmt w:val="decimal"/>
      <w:lvlText w:val="%7."/>
      <w:lvlJc w:val="left"/>
      <w:pPr>
        <w:ind w:left="6441" w:hanging="360"/>
      </w:pPr>
    </w:lvl>
    <w:lvl w:ilvl="7" w:tplc="04270019" w:tentative="1">
      <w:start w:val="1"/>
      <w:numFmt w:val="lowerLetter"/>
      <w:lvlText w:val="%8."/>
      <w:lvlJc w:val="left"/>
      <w:pPr>
        <w:ind w:left="7161" w:hanging="360"/>
      </w:pPr>
    </w:lvl>
    <w:lvl w:ilvl="8" w:tplc="0427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1" w15:restartNumberingAfterBreak="0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AC2FFC"/>
    <w:multiLevelType w:val="hybridMultilevel"/>
    <w:tmpl w:val="D2FEE4E2"/>
    <w:lvl w:ilvl="0" w:tplc="2AA8EF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107770"/>
    <w:multiLevelType w:val="multilevel"/>
    <w:tmpl w:val="21AE9B6A"/>
    <w:lvl w:ilvl="0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800"/>
      </w:pPr>
      <w:rPr>
        <w:rFonts w:hint="default"/>
      </w:rPr>
    </w:lvl>
  </w:abstractNum>
  <w:abstractNum w:abstractNumId="18" w15:restartNumberingAfterBreak="0">
    <w:nsid w:val="71EC3250"/>
    <w:multiLevelType w:val="multilevel"/>
    <w:tmpl w:val="A678F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num w:numId="1" w16cid:durableId="857886344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480224">
    <w:abstractNumId w:val="14"/>
  </w:num>
  <w:num w:numId="3" w16cid:durableId="1644116886">
    <w:abstractNumId w:val="0"/>
  </w:num>
  <w:num w:numId="4" w16cid:durableId="999769183">
    <w:abstractNumId w:val="2"/>
  </w:num>
  <w:num w:numId="5" w16cid:durableId="984119701">
    <w:abstractNumId w:val="7"/>
  </w:num>
  <w:num w:numId="6" w16cid:durableId="205334835">
    <w:abstractNumId w:val="13"/>
  </w:num>
  <w:num w:numId="7" w16cid:durableId="1975789452">
    <w:abstractNumId w:val="3"/>
  </w:num>
  <w:num w:numId="8" w16cid:durableId="1775326102">
    <w:abstractNumId w:val="4"/>
  </w:num>
  <w:num w:numId="9" w16cid:durableId="277489107">
    <w:abstractNumId w:val="5"/>
  </w:num>
  <w:num w:numId="10" w16cid:durableId="1397166289">
    <w:abstractNumId w:val="12"/>
  </w:num>
  <w:num w:numId="11" w16cid:durableId="1303844996">
    <w:abstractNumId w:val="15"/>
  </w:num>
  <w:num w:numId="12" w16cid:durableId="631832584">
    <w:abstractNumId w:val="1"/>
  </w:num>
  <w:num w:numId="13" w16cid:durableId="1953054168">
    <w:abstractNumId w:val="11"/>
  </w:num>
  <w:num w:numId="14" w16cid:durableId="1570650791">
    <w:abstractNumId w:val="16"/>
  </w:num>
  <w:num w:numId="15" w16cid:durableId="355422492">
    <w:abstractNumId w:val="17"/>
  </w:num>
  <w:num w:numId="16" w16cid:durableId="429661931">
    <w:abstractNumId w:val="18"/>
  </w:num>
  <w:num w:numId="17" w16cid:durableId="1162241067">
    <w:abstractNumId w:val="10"/>
  </w:num>
  <w:num w:numId="18" w16cid:durableId="1532572423">
    <w:abstractNumId w:val="9"/>
  </w:num>
  <w:num w:numId="19" w16cid:durableId="302973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21F06"/>
    <w:rsid w:val="00022453"/>
    <w:rsid w:val="00024E90"/>
    <w:rsid w:val="00025AFD"/>
    <w:rsid w:val="000420D8"/>
    <w:rsid w:val="00043E7E"/>
    <w:rsid w:val="00043FE5"/>
    <w:rsid w:val="00044505"/>
    <w:rsid w:val="00044EEF"/>
    <w:rsid w:val="00053088"/>
    <w:rsid w:val="00053768"/>
    <w:rsid w:val="000650FA"/>
    <w:rsid w:val="00072C51"/>
    <w:rsid w:val="00094028"/>
    <w:rsid w:val="000946FB"/>
    <w:rsid w:val="0009490C"/>
    <w:rsid w:val="00097692"/>
    <w:rsid w:val="00097698"/>
    <w:rsid w:val="000A3339"/>
    <w:rsid w:val="000A5173"/>
    <w:rsid w:val="000A5A93"/>
    <w:rsid w:val="000B073E"/>
    <w:rsid w:val="000B26CC"/>
    <w:rsid w:val="000B53EB"/>
    <w:rsid w:val="000C2AD1"/>
    <w:rsid w:val="000C3E59"/>
    <w:rsid w:val="000C54C7"/>
    <w:rsid w:val="000C625F"/>
    <w:rsid w:val="000D3CD1"/>
    <w:rsid w:val="000D4DDB"/>
    <w:rsid w:val="000D7A01"/>
    <w:rsid w:val="000E118A"/>
    <w:rsid w:val="000E32CC"/>
    <w:rsid w:val="00103006"/>
    <w:rsid w:val="00105BED"/>
    <w:rsid w:val="00125C0B"/>
    <w:rsid w:val="001261E4"/>
    <w:rsid w:val="00130A07"/>
    <w:rsid w:val="001320B3"/>
    <w:rsid w:val="00132C35"/>
    <w:rsid w:val="001435DD"/>
    <w:rsid w:val="0014774B"/>
    <w:rsid w:val="001621C6"/>
    <w:rsid w:val="00163AD2"/>
    <w:rsid w:val="00166FE6"/>
    <w:rsid w:val="001704DD"/>
    <w:rsid w:val="0018139D"/>
    <w:rsid w:val="00182991"/>
    <w:rsid w:val="0018417D"/>
    <w:rsid w:val="001860B0"/>
    <w:rsid w:val="00191B23"/>
    <w:rsid w:val="0019521D"/>
    <w:rsid w:val="00195674"/>
    <w:rsid w:val="001A5BF8"/>
    <w:rsid w:val="001B48AB"/>
    <w:rsid w:val="001B579B"/>
    <w:rsid w:val="001B6149"/>
    <w:rsid w:val="001C3250"/>
    <w:rsid w:val="001C5053"/>
    <w:rsid w:val="001D3054"/>
    <w:rsid w:val="001D4553"/>
    <w:rsid w:val="001D7C27"/>
    <w:rsid w:val="001F1E14"/>
    <w:rsid w:val="001F4258"/>
    <w:rsid w:val="001F6432"/>
    <w:rsid w:val="0020303E"/>
    <w:rsid w:val="00203940"/>
    <w:rsid w:val="00203E73"/>
    <w:rsid w:val="0021608E"/>
    <w:rsid w:val="00225CC1"/>
    <w:rsid w:val="002300FA"/>
    <w:rsid w:val="002448D7"/>
    <w:rsid w:val="0024557E"/>
    <w:rsid w:val="00251760"/>
    <w:rsid w:val="00252B3D"/>
    <w:rsid w:val="00262468"/>
    <w:rsid w:val="00265535"/>
    <w:rsid w:val="002727CB"/>
    <w:rsid w:val="00272841"/>
    <w:rsid w:val="00275347"/>
    <w:rsid w:val="00281103"/>
    <w:rsid w:val="002A2053"/>
    <w:rsid w:val="002B09B7"/>
    <w:rsid w:val="002B1AA0"/>
    <w:rsid w:val="002B409B"/>
    <w:rsid w:val="002B5F39"/>
    <w:rsid w:val="002B67BD"/>
    <w:rsid w:val="002C3B2B"/>
    <w:rsid w:val="002D6FAE"/>
    <w:rsid w:val="002E4DED"/>
    <w:rsid w:val="002F02E6"/>
    <w:rsid w:val="0031531A"/>
    <w:rsid w:val="00315DB5"/>
    <w:rsid w:val="0032461A"/>
    <w:rsid w:val="003255B4"/>
    <w:rsid w:val="00327057"/>
    <w:rsid w:val="003355C1"/>
    <w:rsid w:val="003358DA"/>
    <w:rsid w:val="003419B1"/>
    <w:rsid w:val="003468DF"/>
    <w:rsid w:val="003500CC"/>
    <w:rsid w:val="00354AC8"/>
    <w:rsid w:val="00354D4F"/>
    <w:rsid w:val="00360AA3"/>
    <w:rsid w:val="00367FCA"/>
    <w:rsid w:val="00374D76"/>
    <w:rsid w:val="003751CD"/>
    <w:rsid w:val="00375498"/>
    <w:rsid w:val="00381ED7"/>
    <w:rsid w:val="00382231"/>
    <w:rsid w:val="00392349"/>
    <w:rsid w:val="0039738D"/>
    <w:rsid w:val="003A0D0B"/>
    <w:rsid w:val="003A50AF"/>
    <w:rsid w:val="003A5BB2"/>
    <w:rsid w:val="003B1CD1"/>
    <w:rsid w:val="003B603D"/>
    <w:rsid w:val="003B62C5"/>
    <w:rsid w:val="003B68B6"/>
    <w:rsid w:val="003C27FD"/>
    <w:rsid w:val="003C4631"/>
    <w:rsid w:val="003C61EB"/>
    <w:rsid w:val="003D5595"/>
    <w:rsid w:val="003D7972"/>
    <w:rsid w:val="003E2F6D"/>
    <w:rsid w:val="003E4AAD"/>
    <w:rsid w:val="003F6A9C"/>
    <w:rsid w:val="004024B2"/>
    <w:rsid w:val="00403FD3"/>
    <w:rsid w:val="004120A7"/>
    <w:rsid w:val="00412210"/>
    <w:rsid w:val="004169DC"/>
    <w:rsid w:val="00422F58"/>
    <w:rsid w:val="0043798A"/>
    <w:rsid w:val="00442758"/>
    <w:rsid w:val="00442F6D"/>
    <w:rsid w:val="00446206"/>
    <w:rsid w:val="00451B8F"/>
    <w:rsid w:val="00454E52"/>
    <w:rsid w:val="0045514B"/>
    <w:rsid w:val="004602FF"/>
    <w:rsid w:val="00462B9C"/>
    <w:rsid w:val="00477A88"/>
    <w:rsid w:val="00483F5C"/>
    <w:rsid w:val="00486AFB"/>
    <w:rsid w:val="004A408B"/>
    <w:rsid w:val="004B0990"/>
    <w:rsid w:val="004B3F2B"/>
    <w:rsid w:val="004B771C"/>
    <w:rsid w:val="004C5199"/>
    <w:rsid w:val="004C68C4"/>
    <w:rsid w:val="004D4B38"/>
    <w:rsid w:val="004E0D2D"/>
    <w:rsid w:val="004F4EF8"/>
    <w:rsid w:val="004F7737"/>
    <w:rsid w:val="004F7BAC"/>
    <w:rsid w:val="00511CCC"/>
    <w:rsid w:val="00513116"/>
    <w:rsid w:val="00513249"/>
    <w:rsid w:val="005153AB"/>
    <w:rsid w:val="00527F6F"/>
    <w:rsid w:val="0053103C"/>
    <w:rsid w:val="00533B92"/>
    <w:rsid w:val="005409E6"/>
    <w:rsid w:val="00542445"/>
    <w:rsid w:val="00544C09"/>
    <w:rsid w:val="005561F4"/>
    <w:rsid w:val="00563605"/>
    <w:rsid w:val="00583CCE"/>
    <w:rsid w:val="00591E53"/>
    <w:rsid w:val="005954A4"/>
    <w:rsid w:val="0059601D"/>
    <w:rsid w:val="005A259B"/>
    <w:rsid w:val="005A5DC6"/>
    <w:rsid w:val="005A6E04"/>
    <w:rsid w:val="005C266F"/>
    <w:rsid w:val="005C27EF"/>
    <w:rsid w:val="005C78EF"/>
    <w:rsid w:val="005C7AA4"/>
    <w:rsid w:val="005D1A22"/>
    <w:rsid w:val="005E0343"/>
    <w:rsid w:val="0060252C"/>
    <w:rsid w:val="00607475"/>
    <w:rsid w:val="006140A9"/>
    <w:rsid w:val="006240D1"/>
    <w:rsid w:val="006332B2"/>
    <w:rsid w:val="006444F1"/>
    <w:rsid w:val="00653686"/>
    <w:rsid w:val="00653EDE"/>
    <w:rsid w:val="00654349"/>
    <w:rsid w:val="00656E05"/>
    <w:rsid w:val="00660A2E"/>
    <w:rsid w:val="00674290"/>
    <w:rsid w:val="00674F74"/>
    <w:rsid w:val="006819E2"/>
    <w:rsid w:val="00682550"/>
    <w:rsid w:val="00683F59"/>
    <w:rsid w:val="006867A6"/>
    <w:rsid w:val="006941E8"/>
    <w:rsid w:val="00696EED"/>
    <w:rsid w:val="006A01F6"/>
    <w:rsid w:val="006A1BFB"/>
    <w:rsid w:val="006A7E7C"/>
    <w:rsid w:val="006B0A9A"/>
    <w:rsid w:val="006B3AD5"/>
    <w:rsid w:val="006B73C1"/>
    <w:rsid w:val="006C0474"/>
    <w:rsid w:val="006C0574"/>
    <w:rsid w:val="006C0AF6"/>
    <w:rsid w:val="006C32B7"/>
    <w:rsid w:val="006C4A8A"/>
    <w:rsid w:val="006D3DD6"/>
    <w:rsid w:val="006D61FF"/>
    <w:rsid w:val="006D6E23"/>
    <w:rsid w:val="006E08F7"/>
    <w:rsid w:val="006E2EF4"/>
    <w:rsid w:val="006E3B5B"/>
    <w:rsid w:val="006E5316"/>
    <w:rsid w:val="006F456F"/>
    <w:rsid w:val="007027A9"/>
    <w:rsid w:val="007042BF"/>
    <w:rsid w:val="00706B40"/>
    <w:rsid w:val="00711E10"/>
    <w:rsid w:val="00715C36"/>
    <w:rsid w:val="00721911"/>
    <w:rsid w:val="00722DF7"/>
    <w:rsid w:val="007251B8"/>
    <w:rsid w:val="00742438"/>
    <w:rsid w:val="00753696"/>
    <w:rsid w:val="00754649"/>
    <w:rsid w:val="007560B9"/>
    <w:rsid w:val="00760781"/>
    <w:rsid w:val="00767BCA"/>
    <w:rsid w:val="007700D1"/>
    <w:rsid w:val="0077269A"/>
    <w:rsid w:val="00773A1C"/>
    <w:rsid w:val="00775889"/>
    <w:rsid w:val="0078461C"/>
    <w:rsid w:val="00785852"/>
    <w:rsid w:val="00794CBF"/>
    <w:rsid w:val="007A2FC9"/>
    <w:rsid w:val="007B2455"/>
    <w:rsid w:val="007B3573"/>
    <w:rsid w:val="007B4582"/>
    <w:rsid w:val="007B4F6F"/>
    <w:rsid w:val="007B75C6"/>
    <w:rsid w:val="007C3A18"/>
    <w:rsid w:val="007C6037"/>
    <w:rsid w:val="007D1FA8"/>
    <w:rsid w:val="007D4A3C"/>
    <w:rsid w:val="007E14D3"/>
    <w:rsid w:val="007E1A1C"/>
    <w:rsid w:val="007E4D6D"/>
    <w:rsid w:val="007E5117"/>
    <w:rsid w:val="007F4E60"/>
    <w:rsid w:val="00805C18"/>
    <w:rsid w:val="008066A7"/>
    <w:rsid w:val="00812E70"/>
    <w:rsid w:val="008235FC"/>
    <w:rsid w:val="00826ADE"/>
    <w:rsid w:val="00826B06"/>
    <w:rsid w:val="00832EB4"/>
    <w:rsid w:val="00837F2C"/>
    <w:rsid w:val="0084674D"/>
    <w:rsid w:val="00850FCD"/>
    <w:rsid w:val="008529A3"/>
    <w:rsid w:val="00852E91"/>
    <w:rsid w:val="008619C2"/>
    <w:rsid w:val="00862400"/>
    <w:rsid w:val="00864478"/>
    <w:rsid w:val="0088107C"/>
    <w:rsid w:val="00883C91"/>
    <w:rsid w:val="00891234"/>
    <w:rsid w:val="00896A8C"/>
    <w:rsid w:val="0089773D"/>
    <w:rsid w:val="008A092A"/>
    <w:rsid w:val="008A5159"/>
    <w:rsid w:val="008B08FD"/>
    <w:rsid w:val="008B65DA"/>
    <w:rsid w:val="008C2B65"/>
    <w:rsid w:val="008C34BC"/>
    <w:rsid w:val="008C350E"/>
    <w:rsid w:val="008E0C85"/>
    <w:rsid w:val="008E174D"/>
    <w:rsid w:val="008E6DB9"/>
    <w:rsid w:val="008E7624"/>
    <w:rsid w:val="008F3E8D"/>
    <w:rsid w:val="00902B28"/>
    <w:rsid w:val="00905272"/>
    <w:rsid w:val="009163A6"/>
    <w:rsid w:val="00926E66"/>
    <w:rsid w:val="009417EB"/>
    <w:rsid w:val="009428E0"/>
    <w:rsid w:val="00944861"/>
    <w:rsid w:val="009452C9"/>
    <w:rsid w:val="009455A0"/>
    <w:rsid w:val="009479A4"/>
    <w:rsid w:val="00960279"/>
    <w:rsid w:val="00961A8D"/>
    <w:rsid w:val="009660B0"/>
    <w:rsid w:val="0097239C"/>
    <w:rsid w:val="00972853"/>
    <w:rsid w:val="009762C8"/>
    <w:rsid w:val="0097706B"/>
    <w:rsid w:val="0098080B"/>
    <w:rsid w:val="00981BC3"/>
    <w:rsid w:val="00983297"/>
    <w:rsid w:val="0098652F"/>
    <w:rsid w:val="00992803"/>
    <w:rsid w:val="00993207"/>
    <w:rsid w:val="0099352C"/>
    <w:rsid w:val="00993C6B"/>
    <w:rsid w:val="00994402"/>
    <w:rsid w:val="009A0324"/>
    <w:rsid w:val="009A2D91"/>
    <w:rsid w:val="009A55B8"/>
    <w:rsid w:val="009B1A9F"/>
    <w:rsid w:val="009B39A8"/>
    <w:rsid w:val="009B7281"/>
    <w:rsid w:val="009C3834"/>
    <w:rsid w:val="009C5110"/>
    <w:rsid w:val="009C631F"/>
    <w:rsid w:val="009C6E0F"/>
    <w:rsid w:val="009D4733"/>
    <w:rsid w:val="009D5995"/>
    <w:rsid w:val="009D6661"/>
    <w:rsid w:val="009D6964"/>
    <w:rsid w:val="009F61F0"/>
    <w:rsid w:val="009F79DE"/>
    <w:rsid w:val="00A10D7D"/>
    <w:rsid w:val="00A15E9A"/>
    <w:rsid w:val="00A16F58"/>
    <w:rsid w:val="00A17ABA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54F9D"/>
    <w:rsid w:val="00A559DB"/>
    <w:rsid w:val="00A5689B"/>
    <w:rsid w:val="00A56C31"/>
    <w:rsid w:val="00A56E48"/>
    <w:rsid w:val="00A605C6"/>
    <w:rsid w:val="00A610DF"/>
    <w:rsid w:val="00A6264E"/>
    <w:rsid w:val="00A6386E"/>
    <w:rsid w:val="00A6755C"/>
    <w:rsid w:val="00A76007"/>
    <w:rsid w:val="00A81E26"/>
    <w:rsid w:val="00A81E5B"/>
    <w:rsid w:val="00A839B3"/>
    <w:rsid w:val="00A96D8E"/>
    <w:rsid w:val="00AA1F0F"/>
    <w:rsid w:val="00AA5B54"/>
    <w:rsid w:val="00AB0409"/>
    <w:rsid w:val="00AB0E40"/>
    <w:rsid w:val="00AB1C61"/>
    <w:rsid w:val="00AB3C0B"/>
    <w:rsid w:val="00AC0F42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743"/>
    <w:rsid w:val="00AF6FFF"/>
    <w:rsid w:val="00B413BE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18C8"/>
    <w:rsid w:val="00B9217F"/>
    <w:rsid w:val="00B927D6"/>
    <w:rsid w:val="00B943AC"/>
    <w:rsid w:val="00B9442E"/>
    <w:rsid w:val="00BA05F2"/>
    <w:rsid w:val="00BA2E5A"/>
    <w:rsid w:val="00BA5941"/>
    <w:rsid w:val="00BB0037"/>
    <w:rsid w:val="00BB27B2"/>
    <w:rsid w:val="00BC2933"/>
    <w:rsid w:val="00BD3CB1"/>
    <w:rsid w:val="00BD6878"/>
    <w:rsid w:val="00C02069"/>
    <w:rsid w:val="00C05515"/>
    <w:rsid w:val="00C15E96"/>
    <w:rsid w:val="00C2310A"/>
    <w:rsid w:val="00C32F7D"/>
    <w:rsid w:val="00C35272"/>
    <w:rsid w:val="00C46945"/>
    <w:rsid w:val="00C478E2"/>
    <w:rsid w:val="00C62590"/>
    <w:rsid w:val="00C635CD"/>
    <w:rsid w:val="00C667D7"/>
    <w:rsid w:val="00C72B6F"/>
    <w:rsid w:val="00C766A6"/>
    <w:rsid w:val="00C84543"/>
    <w:rsid w:val="00C94297"/>
    <w:rsid w:val="00CA1641"/>
    <w:rsid w:val="00CA2801"/>
    <w:rsid w:val="00CA398B"/>
    <w:rsid w:val="00CA422F"/>
    <w:rsid w:val="00CB53BF"/>
    <w:rsid w:val="00CB66B4"/>
    <w:rsid w:val="00CB722D"/>
    <w:rsid w:val="00CB7E2B"/>
    <w:rsid w:val="00CC1E5E"/>
    <w:rsid w:val="00CC1FCA"/>
    <w:rsid w:val="00CD6CA0"/>
    <w:rsid w:val="00CE5478"/>
    <w:rsid w:val="00CE7985"/>
    <w:rsid w:val="00CF4754"/>
    <w:rsid w:val="00D045A1"/>
    <w:rsid w:val="00D2073F"/>
    <w:rsid w:val="00D2525A"/>
    <w:rsid w:val="00D31ADB"/>
    <w:rsid w:val="00D31DF6"/>
    <w:rsid w:val="00D3419E"/>
    <w:rsid w:val="00D357DC"/>
    <w:rsid w:val="00D40812"/>
    <w:rsid w:val="00D439C7"/>
    <w:rsid w:val="00D44323"/>
    <w:rsid w:val="00D53CAC"/>
    <w:rsid w:val="00D540BE"/>
    <w:rsid w:val="00D56235"/>
    <w:rsid w:val="00D60C36"/>
    <w:rsid w:val="00D64A41"/>
    <w:rsid w:val="00D70C90"/>
    <w:rsid w:val="00D74863"/>
    <w:rsid w:val="00D83F84"/>
    <w:rsid w:val="00D9140B"/>
    <w:rsid w:val="00D91E88"/>
    <w:rsid w:val="00D97CE9"/>
    <w:rsid w:val="00DA3C26"/>
    <w:rsid w:val="00DA4546"/>
    <w:rsid w:val="00DA5B5C"/>
    <w:rsid w:val="00DB39CF"/>
    <w:rsid w:val="00DB5F24"/>
    <w:rsid w:val="00DC063F"/>
    <w:rsid w:val="00DD08FA"/>
    <w:rsid w:val="00DD16A6"/>
    <w:rsid w:val="00DD58B3"/>
    <w:rsid w:val="00DE0B3D"/>
    <w:rsid w:val="00DE2CDE"/>
    <w:rsid w:val="00DF185D"/>
    <w:rsid w:val="00DF4761"/>
    <w:rsid w:val="00DF791C"/>
    <w:rsid w:val="00E00617"/>
    <w:rsid w:val="00E04735"/>
    <w:rsid w:val="00E06A35"/>
    <w:rsid w:val="00E078FB"/>
    <w:rsid w:val="00E17F1C"/>
    <w:rsid w:val="00E22BD5"/>
    <w:rsid w:val="00E32323"/>
    <w:rsid w:val="00E41312"/>
    <w:rsid w:val="00E44290"/>
    <w:rsid w:val="00E45CD4"/>
    <w:rsid w:val="00E45F61"/>
    <w:rsid w:val="00E643BE"/>
    <w:rsid w:val="00E70A6F"/>
    <w:rsid w:val="00E7170A"/>
    <w:rsid w:val="00E72FCD"/>
    <w:rsid w:val="00E82B68"/>
    <w:rsid w:val="00E84D69"/>
    <w:rsid w:val="00E902E9"/>
    <w:rsid w:val="00E909FB"/>
    <w:rsid w:val="00E92ED6"/>
    <w:rsid w:val="00EA05BA"/>
    <w:rsid w:val="00EA7333"/>
    <w:rsid w:val="00EB0472"/>
    <w:rsid w:val="00EB1692"/>
    <w:rsid w:val="00EB176B"/>
    <w:rsid w:val="00EB3716"/>
    <w:rsid w:val="00EC1E88"/>
    <w:rsid w:val="00ED5960"/>
    <w:rsid w:val="00ED7578"/>
    <w:rsid w:val="00ED77A6"/>
    <w:rsid w:val="00EE02CB"/>
    <w:rsid w:val="00EE21F1"/>
    <w:rsid w:val="00EE4CA3"/>
    <w:rsid w:val="00EF05D0"/>
    <w:rsid w:val="00F0336A"/>
    <w:rsid w:val="00F13C86"/>
    <w:rsid w:val="00F2236F"/>
    <w:rsid w:val="00F25810"/>
    <w:rsid w:val="00F26CF6"/>
    <w:rsid w:val="00F311B1"/>
    <w:rsid w:val="00F32D67"/>
    <w:rsid w:val="00F46563"/>
    <w:rsid w:val="00F46608"/>
    <w:rsid w:val="00F5261A"/>
    <w:rsid w:val="00F54DED"/>
    <w:rsid w:val="00F55B48"/>
    <w:rsid w:val="00F56ECE"/>
    <w:rsid w:val="00F576BC"/>
    <w:rsid w:val="00F64EB3"/>
    <w:rsid w:val="00F91C54"/>
    <w:rsid w:val="00F92E54"/>
    <w:rsid w:val="00F93B3A"/>
    <w:rsid w:val="00F97689"/>
    <w:rsid w:val="00FA6485"/>
    <w:rsid w:val="00FB4238"/>
    <w:rsid w:val="00FB5528"/>
    <w:rsid w:val="00FC5041"/>
    <w:rsid w:val="00FC7419"/>
    <w:rsid w:val="00FD280B"/>
    <w:rsid w:val="00FD3190"/>
    <w:rsid w:val="00FD5D51"/>
    <w:rsid w:val="00FD7C6C"/>
    <w:rsid w:val="00FE5A4E"/>
    <w:rsid w:val="00FF0383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50CD9BB4-5660-4AE6-B952-7A8D5B5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5A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83F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83F5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83F5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EF05D0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EF05D0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9D66-3939-4D67-A407-302493FC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4851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Reda Dudienė</dc:creator>
  <cp:lastModifiedBy>Redutė Dūdienė</cp:lastModifiedBy>
  <cp:revision>3</cp:revision>
  <cp:lastPrinted>2023-09-12T13:28:00Z</cp:lastPrinted>
  <dcterms:created xsi:type="dcterms:W3CDTF">2023-09-22T06:52:00Z</dcterms:created>
  <dcterms:modified xsi:type="dcterms:W3CDTF">2023-09-22T06:56:00Z</dcterms:modified>
</cp:coreProperties>
</file>