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F938" w14:textId="77777777" w:rsidR="001F22A8" w:rsidRPr="00307B32" w:rsidRDefault="001F22A8" w:rsidP="001F22A8">
      <w:pPr>
        <w:suppressAutoHyphens/>
        <w:jc w:val="center"/>
        <w:rPr>
          <w:noProof/>
          <w:szCs w:val="20"/>
          <w:lang w:val="lt-LT" w:eastAsia="en-GB"/>
        </w:rPr>
      </w:pPr>
      <w:r w:rsidRPr="00307B32">
        <w:rPr>
          <w:noProof/>
          <w:szCs w:val="20"/>
          <w:lang w:val="lt-LT" w:eastAsia="lt-LT"/>
        </w:rPr>
        <w:drawing>
          <wp:inline distT="0" distB="0" distL="0" distR="0" wp14:anchorId="433DF9AC" wp14:editId="433DF9AD">
            <wp:extent cx="542925" cy="695325"/>
            <wp:effectExtent l="0" t="0" r="9525" b="9525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DF939" w14:textId="77777777" w:rsidR="001F22A8" w:rsidRPr="00307B32" w:rsidRDefault="001F22A8" w:rsidP="001F22A8">
      <w:pPr>
        <w:suppressAutoHyphens/>
        <w:rPr>
          <w:rFonts w:ascii="TimesLT" w:hAnsi="TimesLT"/>
          <w:b/>
          <w:szCs w:val="20"/>
          <w:lang w:val="lt-LT" w:eastAsia="zh-CN"/>
        </w:rPr>
      </w:pPr>
    </w:p>
    <w:p w14:paraId="433DF93A" w14:textId="77777777" w:rsidR="001F22A8" w:rsidRPr="00DD4265" w:rsidRDefault="001F22A8" w:rsidP="001F22A8">
      <w:pPr>
        <w:suppressAutoHyphens/>
        <w:jc w:val="center"/>
        <w:rPr>
          <w:b/>
          <w:lang w:val="lt-LT" w:eastAsia="zh-CN"/>
        </w:rPr>
      </w:pPr>
      <w:r w:rsidRPr="00DD4265">
        <w:rPr>
          <w:b/>
          <w:lang w:val="lt-LT" w:eastAsia="zh-CN"/>
        </w:rPr>
        <w:t>ROKIŠKIO RAJONO SAVIVALDYBĖS TARYBA</w:t>
      </w:r>
    </w:p>
    <w:p w14:paraId="433DF93B" w14:textId="77777777" w:rsidR="001F22A8" w:rsidRPr="00DD4265" w:rsidRDefault="001F22A8" w:rsidP="001F22A8">
      <w:pPr>
        <w:suppressAutoHyphens/>
        <w:jc w:val="center"/>
        <w:rPr>
          <w:b/>
          <w:lang w:val="lt-LT" w:eastAsia="zh-CN"/>
        </w:rPr>
      </w:pPr>
    </w:p>
    <w:p w14:paraId="433DF93C" w14:textId="77777777" w:rsidR="001F22A8" w:rsidRPr="00DD4265" w:rsidRDefault="00DD4265" w:rsidP="001F22A8">
      <w:pPr>
        <w:suppressAutoHyphens/>
        <w:jc w:val="center"/>
        <w:rPr>
          <w:b/>
          <w:lang w:val="lt-LT" w:eastAsia="zh-CN"/>
        </w:rPr>
      </w:pPr>
      <w:r w:rsidRPr="00DD4265">
        <w:rPr>
          <w:b/>
          <w:lang w:val="lt-LT" w:eastAsia="zh-CN"/>
        </w:rPr>
        <w:t>SPRENDIMAS</w:t>
      </w:r>
    </w:p>
    <w:p w14:paraId="31C6C402" w14:textId="22E545CB" w:rsidR="00A579D3" w:rsidRDefault="00A579D3" w:rsidP="00A579D3">
      <w:pPr>
        <w:jc w:val="center"/>
        <w:rPr>
          <w:b/>
          <w:lang w:val="lt-LT"/>
        </w:rPr>
      </w:pPr>
      <w:r w:rsidRPr="002B286B">
        <w:rPr>
          <w:b/>
          <w:lang w:val="lt-LT"/>
        </w:rPr>
        <w:t xml:space="preserve">DĖL </w:t>
      </w:r>
      <w:r w:rsidR="001A7157">
        <w:rPr>
          <w:b/>
          <w:lang w:val="lt-LT"/>
        </w:rPr>
        <w:t xml:space="preserve">ROKIŠKIO RAJONO SAVIVALDYBEI SKIRTŲ </w:t>
      </w:r>
      <w:r w:rsidRPr="002B286B">
        <w:rPr>
          <w:b/>
          <w:lang w:val="lt-LT"/>
        </w:rPr>
        <w:t>MOK</w:t>
      </w:r>
      <w:r w:rsidR="001A7157">
        <w:rPr>
          <w:b/>
          <w:lang w:val="lt-LT"/>
        </w:rPr>
        <w:t xml:space="preserve">YMO LĖŠŲ </w:t>
      </w:r>
    </w:p>
    <w:p w14:paraId="06D4BACB" w14:textId="34A4AF32" w:rsidR="001A7157" w:rsidRPr="002B286B" w:rsidRDefault="001A7157" w:rsidP="00A579D3">
      <w:pPr>
        <w:jc w:val="center"/>
        <w:rPr>
          <w:b/>
          <w:lang w:val="lt-LT"/>
        </w:rPr>
      </w:pPr>
      <w:r>
        <w:rPr>
          <w:b/>
          <w:lang w:val="lt-LT"/>
        </w:rPr>
        <w:t>PASKIRSTYMO</w:t>
      </w:r>
      <w:r w:rsidR="00D9454F">
        <w:rPr>
          <w:b/>
          <w:lang w:val="lt-LT"/>
        </w:rPr>
        <w:t xml:space="preserve"> IR PANAUDOJIMO TVARKOS</w:t>
      </w:r>
      <w:r>
        <w:rPr>
          <w:b/>
          <w:lang w:val="lt-LT"/>
        </w:rPr>
        <w:t xml:space="preserve"> APRAŠO PATVIRTINIMO</w:t>
      </w:r>
    </w:p>
    <w:p w14:paraId="433DF93E" w14:textId="77777777" w:rsidR="001F22A8" w:rsidRPr="00DD4265" w:rsidRDefault="001F22A8" w:rsidP="001F22A8">
      <w:pPr>
        <w:tabs>
          <w:tab w:val="left" w:pos="6720"/>
        </w:tabs>
        <w:suppressAutoHyphens/>
        <w:rPr>
          <w:b/>
          <w:bCs/>
          <w:lang w:val="lt-LT" w:eastAsia="zh-CN"/>
        </w:rPr>
      </w:pPr>
      <w:r w:rsidRPr="00DD4265">
        <w:rPr>
          <w:b/>
          <w:bCs/>
          <w:lang w:val="lt-LT" w:eastAsia="zh-CN"/>
        </w:rPr>
        <w:tab/>
      </w:r>
    </w:p>
    <w:p w14:paraId="433DF93F" w14:textId="693BDBED" w:rsidR="001F22A8" w:rsidRPr="00DD4265" w:rsidRDefault="000960BF" w:rsidP="001F22A8">
      <w:pPr>
        <w:suppressAutoHyphens/>
        <w:jc w:val="center"/>
        <w:rPr>
          <w:lang w:val="lt-LT" w:eastAsia="zh-CN"/>
        </w:rPr>
      </w:pPr>
      <w:r w:rsidRPr="00DD4265">
        <w:rPr>
          <w:lang w:val="lt-LT" w:eastAsia="zh-CN"/>
        </w:rPr>
        <w:t>2023</w:t>
      </w:r>
      <w:r w:rsidR="001F22A8" w:rsidRPr="00DD4265">
        <w:rPr>
          <w:lang w:val="lt-LT" w:eastAsia="zh-CN"/>
        </w:rPr>
        <w:t xml:space="preserve"> m. </w:t>
      </w:r>
      <w:r w:rsidR="005B3006">
        <w:rPr>
          <w:lang w:val="lt-LT" w:eastAsia="zh-CN"/>
        </w:rPr>
        <w:t>lapkričio</w:t>
      </w:r>
      <w:r w:rsidRPr="00DD4265">
        <w:rPr>
          <w:lang w:val="lt-LT" w:eastAsia="zh-CN"/>
        </w:rPr>
        <w:t xml:space="preserve"> </w:t>
      </w:r>
      <w:r w:rsidR="005B3006">
        <w:rPr>
          <w:lang w:val="lt-LT" w:eastAsia="zh-CN"/>
        </w:rPr>
        <w:t>30</w:t>
      </w:r>
      <w:r w:rsidR="001F22A8" w:rsidRPr="00DD4265">
        <w:rPr>
          <w:lang w:val="lt-LT" w:eastAsia="zh-CN"/>
        </w:rPr>
        <w:t xml:space="preserve"> d. Nr. TS-    </w:t>
      </w:r>
    </w:p>
    <w:p w14:paraId="433DF940" w14:textId="77777777" w:rsidR="001F22A8" w:rsidRPr="00DD4265" w:rsidRDefault="001F22A8" w:rsidP="001F22A8">
      <w:pPr>
        <w:suppressAutoHyphens/>
        <w:jc w:val="center"/>
        <w:rPr>
          <w:lang w:val="lt-LT" w:eastAsia="zh-CN"/>
        </w:rPr>
      </w:pPr>
      <w:r w:rsidRPr="00DD4265">
        <w:rPr>
          <w:lang w:val="lt-LT" w:eastAsia="zh-CN"/>
        </w:rPr>
        <w:t>Rokiškis</w:t>
      </w:r>
    </w:p>
    <w:p w14:paraId="433DF941" w14:textId="77777777" w:rsidR="001F22A8" w:rsidRDefault="001F22A8" w:rsidP="001F22A8">
      <w:pPr>
        <w:suppressAutoHyphens/>
        <w:jc w:val="both"/>
        <w:rPr>
          <w:lang w:val="lt-LT" w:eastAsia="zh-CN"/>
        </w:rPr>
      </w:pPr>
    </w:p>
    <w:p w14:paraId="342641E3" w14:textId="77777777" w:rsidR="00177A80" w:rsidRPr="00307B32" w:rsidRDefault="00177A80" w:rsidP="001F22A8">
      <w:pPr>
        <w:suppressAutoHyphens/>
        <w:jc w:val="both"/>
        <w:rPr>
          <w:lang w:val="lt-LT" w:eastAsia="zh-CN"/>
        </w:rPr>
      </w:pPr>
    </w:p>
    <w:p w14:paraId="433DF943" w14:textId="73FD36AE" w:rsidR="001F22A8" w:rsidRDefault="0043130F" w:rsidP="0043130F">
      <w:pPr>
        <w:pStyle w:val="Default"/>
        <w:tabs>
          <w:tab w:val="left" w:pos="709"/>
        </w:tabs>
        <w:jc w:val="both"/>
        <w:rPr>
          <w:color w:val="auto"/>
          <w:lang w:eastAsia="zh-CN"/>
        </w:rPr>
      </w:pPr>
      <w:r>
        <w:rPr>
          <w:lang w:eastAsia="zh-CN"/>
        </w:rPr>
        <w:tab/>
      </w:r>
      <w:r w:rsidR="001F22A8" w:rsidRPr="00DC57C9">
        <w:rPr>
          <w:lang w:eastAsia="zh-CN"/>
        </w:rPr>
        <w:t>Vadovaudamasi</w:t>
      </w:r>
      <w:r w:rsidR="00251E01" w:rsidRPr="00DC57C9">
        <w:rPr>
          <w:lang w:eastAsia="zh-CN"/>
        </w:rPr>
        <w:t xml:space="preserve"> </w:t>
      </w:r>
      <w:r w:rsidR="00625BC2" w:rsidRPr="00DC57C9">
        <w:rPr>
          <w:lang w:eastAsia="zh-CN"/>
        </w:rPr>
        <w:t xml:space="preserve">Lietuvos Respublikos vietos savivaldos įstatymo 15 straipsnio </w:t>
      </w:r>
      <w:r w:rsidR="00547453">
        <w:rPr>
          <w:lang w:eastAsia="zh-CN"/>
        </w:rPr>
        <w:t>4</w:t>
      </w:r>
      <w:r w:rsidR="00625BC2" w:rsidRPr="00DC57C9">
        <w:rPr>
          <w:lang w:eastAsia="zh-CN"/>
        </w:rPr>
        <w:t xml:space="preserve"> dali</w:t>
      </w:r>
      <w:r w:rsidR="00547453">
        <w:rPr>
          <w:lang w:eastAsia="zh-CN"/>
        </w:rPr>
        <w:t xml:space="preserve">mi, </w:t>
      </w:r>
      <w:r w:rsidR="00251E01" w:rsidRPr="00DC57C9">
        <w:rPr>
          <w:lang w:eastAsia="zh-CN"/>
        </w:rPr>
        <w:t>Lietuvos Respu</w:t>
      </w:r>
      <w:r w:rsidR="003B2F45">
        <w:rPr>
          <w:lang w:eastAsia="zh-CN"/>
        </w:rPr>
        <w:t xml:space="preserve">blikos </w:t>
      </w:r>
      <w:r w:rsidR="00547453">
        <w:rPr>
          <w:lang w:eastAsia="zh-CN"/>
        </w:rPr>
        <w:t>Vyriausybės 2018 m. liepos 11 d. nutarimu Nr.</w:t>
      </w:r>
      <w:r w:rsidR="008D61A3">
        <w:rPr>
          <w:lang w:eastAsia="zh-CN"/>
        </w:rPr>
        <w:t xml:space="preserve"> </w:t>
      </w:r>
      <w:r w:rsidR="00547453">
        <w:rPr>
          <w:lang w:eastAsia="zh-CN"/>
        </w:rPr>
        <w:t xml:space="preserve">679 „Dėl Mokymo lėšų apskaičiavimo, paskirstymo ir panaudojimo tvarkos aprašo patvirtinimo“ patvirtinto Mokymo lėšų apskaičiavimo, paskirstymo ir panaudojimo tvarkos aprašo 12 ir 13 punktais, </w:t>
      </w:r>
      <w:r w:rsidR="001F22A8" w:rsidRPr="00F74A0B">
        <w:rPr>
          <w:color w:val="auto"/>
          <w:lang w:eastAsia="zh-CN"/>
        </w:rPr>
        <w:t>Rokiškio rajono savivaldybės taryba n u s p r e n d ž i a:</w:t>
      </w:r>
    </w:p>
    <w:p w14:paraId="30226616" w14:textId="10A91B42" w:rsidR="00547453" w:rsidRDefault="00547453" w:rsidP="0043130F">
      <w:pPr>
        <w:pStyle w:val="Default"/>
        <w:tabs>
          <w:tab w:val="left" w:pos="709"/>
        </w:tabs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ab/>
        <w:t>Patvirtinti Rokiškio rajono savivaldybei skirtų mokymo lėšų paskirstymo ir panaudojimo tvarkos aprašą (pridedama)</w:t>
      </w:r>
      <w:r w:rsidR="00BC4AEC">
        <w:rPr>
          <w:color w:val="auto"/>
          <w:lang w:eastAsia="zh-CN"/>
        </w:rPr>
        <w:t>.</w:t>
      </w:r>
    </w:p>
    <w:p w14:paraId="2CA96296" w14:textId="77777777" w:rsidR="00547453" w:rsidRDefault="00547453" w:rsidP="0043130F">
      <w:pPr>
        <w:pStyle w:val="Default"/>
        <w:tabs>
          <w:tab w:val="left" w:pos="709"/>
        </w:tabs>
        <w:jc w:val="both"/>
        <w:rPr>
          <w:color w:val="auto"/>
          <w:lang w:eastAsia="zh-CN"/>
        </w:rPr>
      </w:pPr>
    </w:p>
    <w:p w14:paraId="1944A07A" w14:textId="77777777" w:rsidR="00D9454F" w:rsidRDefault="00D9454F" w:rsidP="0043130F">
      <w:pPr>
        <w:pStyle w:val="Default"/>
        <w:tabs>
          <w:tab w:val="left" w:pos="709"/>
        </w:tabs>
        <w:jc w:val="both"/>
        <w:rPr>
          <w:color w:val="auto"/>
          <w:lang w:eastAsia="zh-CN"/>
        </w:rPr>
      </w:pPr>
    </w:p>
    <w:p w14:paraId="6EFB1AED" w14:textId="77777777" w:rsidR="00D9454F" w:rsidRPr="00F74A0B" w:rsidRDefault="00D9454F" w:rsidP="0043130F">
      <w:pPr>
        <w:pStyle w:val="Default"/>
        <w:tabs>
          <w:tab w:val="left" w:pos="709"/>
        </w:tabs>
        <w:jc w:val="both"/>
        <w:rPr>
          <w:color w:val="auto"/>
        </w:rPr>
      </w:pPr>
    </w:p>
    <w:p w14:paraId="433DF946" w14:textId="335F1C5E" w:rsidR="001F22A8" w:rsidRPr="00307B32" w:rsidRDefault="008808FF" w:rsidP="00EF27FB">
      <w:pPr>
        <w:tabs>
          <w:tab w:val="left" w:pos="851"/>
        </w:tabs>
        <w:jc w:val="both"/>
        <w:rPr>
          <w:lang w:val="lt-LT" w:eastAsia="zh-CN"/>
        </w:rPr>
      </w:pPr>
      <w:r>
        <w:rPr>
          <w:lang w:val="lt-LT" w:eastAsia="zh-CN"/>
        </w:rPr>
        <w:tab/>
      </w:r>
    </w:p>
    <w:p w14:paraId="433DF94A" w14:textId="0643766D" w:rsidR="001F22A8" w:rsidRPr="0037313F" w:rsidRDefault="001F22A8" w:rsidP="0037313F">
      <w:r w:rsidRPr="0037313F">
        <w:t xml:space="preserve">Savivaldybės </w:t>
      </w:r>
      <w:proofErr w:type="spellStart"/>
      <w:r w:rsidRPr="0037313F">
        <w:t>meras</w:t>
      </w:r>
      <w:proofErr w:type="spellEnd"/>
      <w:r w:rsidRPr="0037313F">
        <w:t xml:space="preserve"> </w:t>
      </w:r>
      <w:r w:rsidR="0037313F">
        <w:tab/>
      </w:r>
      <w:r w:rsidR="0037313F">
        <w:tab/>
      </w:r>
      <w:r w:rsidR="0037313F">
        <w:tab/>
      </w:r>
      <w:r w:rsidR="0037313F">
        <w:tab/>
      </w:r>
      <w:r w:rsidRPr="0037313F">
        <w:t xml:space="preserve">Ramūnas </w:t>
      </w:r>
      <w:proofErr w:type="spellStart"/>
      <w:r w:rsidRPr="0037313F">
        <w:t>Godeliauskas</w:t>
      </w:r>
      <w:proofErr w:type="spellEnd"/>
    </w:p>
    <w:p w14:paraId="5E8C4C28" w14:textId="77777777" w:rsidR="00BC4AEC" w:rsidRDefault="00BC4AEC" w:rsidP="001F22A8">
      <w:pPr>
        <w:tabs>
          <w:tab w:val="left" w:pos="7560"/>
        </w:tabs>
        <w:suppressAutoHyphens/>
        <w:jc w:val="both"/>
        <w:rPr>
          <w:lang w:val="lt-LT" w:eastAsia="zh-CN"/>
        </w:rPr>
      </w:pPr>
    </w:p>
    <w:p w14:paraId="449FCBA5" w14:textId="77777777" w:rsidR="00BC4AEC" w:rsidRDefault="00BC4AEC" w:rsidP="001F22A8">
      <w:pPr>
        <w:tabs>
          <w:tab w:val="left" w:pos="7560"/>
        </w:tabs>
        <w:suppressAutoHyphens/>
        <w:jc w:val="both"/>
        <w:rPr>
          <w:lang w:val="lt-LT" w:eastAsia="zh-CN"/>
        </w:rPr>
      </w:pPr>
    </w:p>
    <w:p w14:paraId="5AD615E1" w14:textId="77777777" w:rsidR="00BC4AEC" w:rsidRDefault="00BC4AEC" w:rsidP="001F22A8">
      <w:pPr>
        <w:tabs>
          <w:tab w:val="left" w:pos="7560"/>
        </w:tabs>
        <w:suppressAutoHyphens/>
        <w:jc w:val="both"/>
        <w:rPr>
          <w:lang w:val="lt-LT" w:eastAsia="zh-CN"/>
        </w:rPr>
      </w:pPr>
    </w:p>
    <w:p w14:paraId="70C35712" w14:textId="77777777" w:rsidR="00BC4AEC" w:rsidRDefault="00BC4AEC" w:rsidP="001F22A8">
      <w:pPr>
        <w:tabs>
          <w:tab w:val="left" w:pos="7560"/>
        </w:tabs>
        <w:suppressAutoHyphens/>
        <w:jc w:val="both"/>
        <w:rPr>
          <w:lang w:val="lt-LT" w:eastAsia="zh-CN"/>
        </w:rPr>
      </w:pPr>
    </w:p>
    <w:p w14:paraId="6C5C555B" w14:textId="77777777" w:rsidR="00BC4AEC" w:rsidRDefault="00BC4AEC" w:rsidP="001F22A8">
      <w:pPr>
        <w:tabs>
          <w:tab w:val="left" w:pos="7560"/>
        </w:tabs>
        <w:suppressAutoHyphens/>
        <w:jc w:val="both"/>
        <w:rPr>
          <w:lang w:val="lt-LT" w:eastAsia="zh-CN"/>
        </w:rPr>
      </w:pPr>
    </w:p>
    <w:p w14:paraId="10F0FEC7" w14:textId="77777777" w:rsidR="00BC4AEC" w:rsidRDefault="00BC4AEC" w:rsidP="001F22A8">
      <w:pPr>
        <w:tabs>
          <w:tab w:val="left" w:pos="7560"/>
        </w:tabs>
        <w:suppressAutoHyphens/>
        <w:jc w:val="both"/>
        <w:rPr>
          <w:lang w:val="lt-LT" w:eastAsia="zh-CN"/>
        </w:rPr>
      </w:pPr>
    </w:p>
    <w:p w14:paraId="06E995C8" w14:textId="77777777" w:rsidR="00BC4AEC" w:rsidRDefault="00BC4AEC" w:rsidP="001F22A8">
      <w:pPr>
        <w:tabs>
          <w:tab w:val="left" w:pos="7560"/>
        </w:tabs>
        <w:suppressAutoHyphens/>
        <w:jc w:val="both"/>
        <w:rPr>
          <w:lang w:val="lt-LT" w:eastAsia="zh-CN"/>
        </w:rPr>
      </w:pPr>
    </w:p>
    <w:p w14:paraId="5AA6C157" w14:textId="77777777" w:rsidR="00BC4AEC" w:rsidRDefault="00BC4AEC" w:rsidP="001F22A8">
      <w:pPr>
        <w:tabs>
          <w:tab w:val="left" w:pos="7560"/>
        </w:tabs>
        <w:suppressAutoHyphens/>
        <w:jc w:val="both"/>
        <w:rPr>
          <w:lang w:val="lt-LT" w:eastAsia="zh-CN"/>
        </w:rPr>
      </w:pPr>
    </w:p>
    <w:p w14:paraId="1708DFE7" w14:textId="77777777" w:rsidR="00BC4AEC" w:rsidRDefault="00BC4AEC" w:rsidP="001F22A8">
      <w:pPr>
        <w:tabs>
          <w:tab w:val="left" w:pos="7560"/>
        </w:tabs>
        <w:suppressAutoHyphens/>
        <w:jc w:val="both"/>
        <w:rPr>
          <w:lang w:val="lt-LT" w:eastAsia="zh-CN"/>
        </w:rPr>
      </w:pPr>
    </w:p>
    <w:p w14:paraId="07733B45" w14:textId="77777777" w:rsidR="00BC4AEC" w:rsidRDefault="00BC4AEC" w:rsidP="001F22A8">
      <w:pPr>
        <w:tabs>
          <w:tab w:val="left" w:pos="7560"/>
        </w:tabs>
        <w:suppressAutoHyphens/>
        <w:jc w:val="both"/>
        <w:rPr>
          <w:lang w:val="lt-LT" w:eastAsia="zh-CN"/>
        </w:rPr>
      </w:pPr>
    </w:p>
    <w:p w14:paraId="4DF94732" w14:textId="77777777" w:rsidR="00BC4AEC" w:rsidRDefault="00BC4AEC" w:rsidP="001F22A8">
      <w:pPr>
        <w:tabs>
          <w:tab w:val="left" w:pos="7560"/>
        </w:tabs>
        <w:suppressAutoHyphens/>
        <w:jc w:val="both"/>
        <w:rPr>
          <w:lang w:val="lt-LT" w:eastAsia="zh-CN"/>
        </w:rPr>
      </w:pPr>
    </w:p>
    <w:p w14:paraId="31851075" w14:textId="77777777" w:rsidR="00BC4AEC" w:rsidRDefault="00BC4AEC" w:rsidP="001F22A8">
      <w:pPr>
        <w:tabs>
          <w:tab w:val="left" w:pos="7560"/>
        </w:tabs>
        <w:suppressAutoHyphens/>
        <w:jc w:val="both"/>
        <w:rPr>
          <w:lang w:val="lt-LT" w:eastAsia="zh-CN"/>
        </w:rPr>
      </w:pPr>
    </w:p>
    <w:p w14:paraId="06F62044" w14:textId="77777777" w:rsidR="00BC4AEC" w:rsidRPr="00307B32" w:rsidRDefault="00BC4AEC" w:rsidP="001F22A8">
      <w:pPr>
        <w:tabs>
          <w:tab w:val="left" w:pos="7560"/>
        </w:tabs>
        <w:suppressAutoHyphens/>
        <w:jc w:val="both"/>
        <w:rPr>
          <w:lang w:val="lt-LT" w:eastAsia="zh-CN"/>
        </w:rPr>
      </w:pPr>
    </w:p>
    <w:p w14:paraId="535A6FDA" w14:textId="77777777" w:rsidR="002A59E7" w:rsidRDefault="002A59E7" w:rsidP="00CD4B85">
      <w:pPr>
        <w:spacing w:after="200" w:line="276" w:lineRule="auto"/>
        <w:rPr>
          <w:rFonts w:eastAsia="Calibri"/>
          <w:lang w:val="lt-LT"/>
        </w:rPr>
      </w:pPr>
    </w:p>
    <w:p w14:paraId="6FD437FD" w14:textId="77777777" w:rsidR="005D2BAE" w:rsidRDefault="005D2BAE" w:rsidP="00697657">
      <w:pPr>
        <w:spacing w:after="200" w:line="276" w:lineRule="auto"/>
        <w:rPr>
          <w:rFonts w:eastAsia="Calibri"/>
          <w:lang w:val="lt-LT"/>
        </w:rPr>
      </w:pPr>
    </w:p>
    <w:p w14:paraId="06F6565B" w14:textId="77777777" w:rsidR="0037313F" w:rsidRDefault="0037313F" w:rsidP="00697657">
      <w:pPr>
        <w:spacing w:after="200" w:line="276" w:lineRule="auto"/>
        <w:rPr>
          <w:rFonts w:eastAsia="Calibri"/>
          <w:lang w:val="lt-LT"/>
        </w:rPr>
      </w:pPr>
    </w:p>
    <w:p w14:paraId="5941B5C1" w14:textId="77777777" w:rsidR="0037313F" w:rsidRDefault="0037313F" w:rsidP="00697657">
      <w:pPr>
        <w:spacing w:after="200" w:line="276" w:lineRule="auto"/>
        <w:rPr>
          <w:rFonts w:eastAsia="Calibri"/>
          <w:lang w:val="lt-LT"/>
        </w:rPr>
      </w:pPr>
    </w:p>
    <w:p w14:paraId="4FE24428" w14:textId="77777777" w:rsidR="0037313F" w:rsidRDefault="0037313F" w:rsidP="00697657">
      <w:pPr>
        <w:spacing w:after="200" w:line="276" w:lineRule="auto"/>
        <w:rPr>
          <w:rFonts w:eastAsia="Calibri"/>
          <w:lang w:val="lt-LT"/>
        </w:rPr>
      </w:pPr>
    </w:p>
    <w:p w14:paraId="56C97B24" w14:textId="30324B7E" w:rsidR="00697657" w:rsidRDefault="00EF27FB" w:rsidP="00697657">
      <w:pPr>
        <w:spacing w:after="200" w:line="276" w:lineRule="auto"/>
        <w:rPr>
          <w:rFonts w:eastAsia="Calibri"/>
          <w:lang w:val="lt-LT"/>
        </w:rPr>
      </w:pPr>
      <w:r>
        <w:rPr>
          <w:rFonts w:eastAsia="Calibri"/>
          <w:lang w:val="lt-LT"/>
        </w:rPr>
        <w:t xml:space="preserve">Aldona </w:t>
      </w:r>
      <w:proofErr w:type="spellStart"/>
      <w:r>
        <w:rPr>
          <w:rFonts w:eastAsia="Calibri"/>
          <w:lang w:val="lt-LT"/>
        </w:rPr>
        <w:t>Burdinavičiūtė</w:t>
      </w:r>
      <w:proofErr w:type="spellEnd"/>
    </w:p>
    <w:p w14:paraId="626F8929" w14:textId="77777777" w:rsidR="00BC4AEC" w:rsidRDefault="00BC4AEC" w:rsidP="009512F3">
      <w:pPr>
        <w:rPr>
          <w:b/>
          <w:lang w:val="lt-LT" w:eastAsia="lt-LT"/>
        </w:rPr>
      </w:pPr>
    </w:p>
    <w:p w14:paraId="433DF960" w14:textId="28668095" w:rsidR="0078159B" w:rsidRPr="005F66E8" w:rsidRDefault="0078159B" w:rsidP="005F66E8">
      <w:pPr>
        <w:jc w:val="center"/>
        <w:rPr>
          <w:b/>
          <w:bCs/>
        </w:rPr>
      </w:pPr>
      <w:r w:rsidRPr="005F66E8">
        <w:rPr>
          <w:b/>
          <w:bCs/>
        </w:rPr>
        <w:lastRenderedPageBreak/>
        <w:t>SPRENDIMO PROJEKTO</w:t>
      </w:r>
    </w:p>
    <w:p w14:paraId="44FD38FA" w14:textId="47B7101A" w:rsidR="001A7157" w:rsidRPr="005F66E8" w:rsidRDefault="001A7157" w:rsidP="005F66E8">
      <w:pPr>
        <w:jc w:val="center"/>
        <w:rPr>
          <w:b/>
          <w:bCs/>
        </w:rPr>
      </w:pPr>
      <w:r w:rsidRPr="005F66E8">
        <w:rPr>
          <w:b/>
          <w:bCs/>
        </w:rPr>
        <w:t>DĖL ROKIŠKIO RAJONO SAVIVALDYBEI SKIRTŲ MOKYMO LĖŠŲ</w:t>
      </w:r>
    </w:p>
    <w:p w14:paraId="433DF962" w14:textId="68CE12BC" w:rsidR="0078159B" w:rsidRPr="005F66E8" w:rsidRDefault="001A7157" w:rsidP="005F66E8">
      <w:pPr>
        <w:jc w:val="center"/>
        <w:rPr>
          <w:b/>
          <w:bCs/>
          <w:lang w:val="pt-BR"/>
        </w:rPr>
      </w:pPr>
      <w:r w:rsidRPr="005F66E8">
        <w:rPr>
          <w:b/>
          <w:bCs/>
          <w:lang w:val="pt-BR"/>
        </w:rPr>
        <w:t>PASKIRSTYMO</w:t>
      </w:r>
      <w:r w:rsidR="00D9454F" w:rsidRPr="005F66E8">
        <w:rPr>
          <w:b/>
          <w:bCs/>
          <w:lang w:val="pt-BR"/>
        </w:rPr>
        <w:t xml:space="preserve"> IR PANAUDOJIMO TVARKOS</w:t>
      </w:r>
      <w:r w:rsidRPr="005F66E8">
        <w:rPr>
          <w:b/>
          <w:bCs/>
          <w:lang w:val="pt-BR"/>
        </w:rPr>
        <w:t xml:space="preserve"> APRAŠO PATVIRTINIMO </w:t>
      </w:r>
      <w:r w:rsidR="0078159B" w:rsidRPr="005F66E8">
        <w:rPr>
          <w:b/>
          <w:bCs/>
          <w:lang w:val="pt-BR"/>
        </w:rPr>
        <w:t>AIŠKINAMASIS RAŠTAS</w:t>
      </w:r>
    </w:p>
    <w:p w14:paraId="433DF963" w14:textId="77777777" w:rsidR="0078159B" w:rsidRPr="0078159B" w:rsidRDefault="0078159B" w:rsidP="0078159B">
      <w:pPr>
        <w:rPr>
          <w:lang w:val="lt-LT" w:eastAsia="lt-LT"/>
        </w:rPr>
      </w:pPr>
    </w:p>
    <w:p w14:paraId="433DF964" w14:textId="49877433" w:rsidR="0078159B" w:rsidRPr="00AF3C17" w:rsidRDefault="0078159B" w:rsidP="0078159B">
      <w:pPr>
        <w:jc w:val="center"/>
        <w:rPr>
          <w:iCs/>
          <w:lang w:val="lt-LT" w:eastAsia="lt-LT"/>
        </w:rPr>
      </w:pPr>
      <w:r w:rsidRPr="00AF3C17">
        <w:rPr>
          <w:iCs/>
          <w:lang w:val="lt-LT" w:eastAsia="lt-LT"/>
        </w:rPr>
        <w:t xml:space="preserve">2023 m. </w:t>
      </w:r>
      <w:r w:rsidR="006B1927" w:rsidRPr="00AF3C17">
        <w:rPr>
          <w:iCs/>
          <w:lang w:val="lt-LT" w:eastAsia="lt-LT"/>
        </w:rPr>
        <w:t>lapkričio</w:t>
      </w:r>
      <w:r w:rsidRPr="00AF3C17">
        <w:rPr>
          <w:iCs/>
          <w:lang w:val="lt-LT" w:eastAsia="lt-LT"/>
        </w:rPr>
        <w:t xml:space="preserve"> </w:t>
      </w:r>
      <w:r w:rsidR="006B1927" w:rsidRPr="00AF3C17">
        <w:rPr>
          <w:iCs/>
          <w:lang w:val="lt-LT" w:eastAsia="lt-LT"/>
        </w:rPr>
        <w:t>30</w:t>
      </w:r>
      <w:r w:rsidRPr="00AF3C17">
        <w:rPr>
          <w:iCs/>
          <w:lang w:val="lt-LT" w:eastAsia="lt-LT"/>
        </w:rPr>
        <w:t xml:space="preserve"> d.</w:t>
      </w:r>
    </w:p>
    <w:p w14:paraId="433DF965" w14:textId="77777777" w:rsidR="0078159B" w:rsidRPr="0078159B" w:rsidRDefault="0078159B" w:rsidP="0078159B">
      <w:pPr>
        <w:jc w:val="center"/>
        <w:rPr>
          <w:i/>
          <w:lang w:val="lt-LT" w:eastAsia="lt-LT"/>
        </w:rPr>
      </w:pPr>
    </w:p>
    <w:p w14:paraId="529208FC" w14:textId="4F70AC2D" w:rsidR="00342AF2" w:rsidRDefault="0078159B" w:rsidP="0078159B">
      <w:pPr>
        <w:rPr>
          <w:lang w:val="lt-LT" w:eastAsia="lt-LT"/>
        </w:rPr>
      </w:pPr>
      <w:r w:rsidRPr="0078159B">
        <w:rPr>
          <w:lang w:val="lt-LT" w:eastAsia="lt-LT"/>
        </w:rPr>
        <w:t xml:space="preserve">Projekto rengėjas – </w:t>
      </w:r>
      <w:r w:rsidR="00342AF2">
        <w:rPr>
          <w:lang w:val="lt-LT" w:eastAsia="lt-LT"/>
        </w:rPr>
        <w:t xml:space="preserve">Finansų </w:t>
      </w:r>
      <w:r w:rsidR="00231324">
        <w:rPr>
          <w:lang w:val="lt-LT" w:eastAsia="lt-LT"/>
        </w:rPr>
        <w:t>skyriaus vyriausioji specialistė</w:t>
      </w:r>
      <w:r w:rsidR="00342AF2">
        <w:rPr>
          <w:lang w:val="lt-LT" w:eastAsia="lt-LT"/>
        </w:rPr>
        <w:t xml:space="preserve"> Aldona </w:t>
      </w:r>
      <w:proofErr w:type="spellStart"/>
      <w:r w:rsidR="00342AF2">
        <w:rPr>
          <w:lang w:val="lt-LT" w:eastAsia="lt-LT"/>
        </w:rPr>
        <w:t>Burdinavičiūtė</w:t>
      </w:r>
      <w:proofErr w:type="spellEnd"/>
      <w:r w:rsidR="00231324">
        <w:rPr>
          <w:lang w:val="lt-LT" w:eastAsia="lt-LT"/>
        </w:rPr>
        <w:t xml:space="preserve"> </w:t>
      </w:r>
    </w:p>
    <w:p w14:paraId="433DF969" w14:textId="6614AF63" w:rsidR="0078159B" w:rsidRDefault="0078159B" w:rsidP="0078159B">
      <w:pPr>
        <w:rPr>
          <w:lang w:val="lt-LT" w:eastAsia="lt-LT"/>
        </w:rPr>
      </w:pPr>
      <w:r w:rsidRPr="0078159B">
        <w:rPr>
          <w:lang w:val="lt-LT" w:eastAsia="lt-LT"/>
        </w:rPr>
        <w:t xml:space="preserve">Pranešėjas komitetų ir </w:t>
      </w:r>
      <w:r w:rsidR="008A4741">
        <w:rPr>
          <w:lang w:val="lt-LT" w:eastAsia="lt-LT"/>
        </w:rPr>
        <w:t>t</w:t>
      </w:r>
      <w:r w:rsidRPr="0078159B">
        <w:rPr>
          <w:lang w:val="lt-LT" w:eastAsia="lt-LT"/>
        </w:rPr>
        <w:t xml:space="preserve">arybos posėdžiuose – </w:t>
      </w:r>
      <w:r w:rsidR="00342AF2">
        <w:rPr>
          <w:lang w:val="lt-LT" w:eastAsia="lt-LT"/>
        </w:rPr>
        <w:t>Finansų</w:t>
      </w:r>
      <w:r w:rsidR="00231324">
        <w:rPr>
          <w:lang w:val="lt-LT" w:eastAsia="lt-LT"/>
        </w:rPr>
        <w:t xml:space="preserve"> skyriaus vedėja</w:t>
      </w:r>
      <w:r w:rsidR="00342AF2">
        <w:rPr>
          <w:lang w:val="lt-LT" w:eastAsia="lt-LT"/>
        </w:rPr>
        <w:t xml:space="preserve"> Reda </w:t>
      </w:r>
      <w:proofErr w:type="spellStart"/>
      <w:r w:rsidR="00342AF2">
        <w:rPr>
          <w:lang w:val="lt-LT" w:eastAsia="lt-LT"/>
        </w:rPr>
        <w:t>Dūdienė</w:t>
      </w:r>
      <w:proofErr w:type="spellEnd"/>
    </w:p>
    <w:p w14:paraId="0D56E27E" w14:textId="77777777" w:rsidR="00342AF2" w:rsidRPr="0078159B" w:rsidRDefault="00342AF2" w:rsidP="0078159B">
      <w:pPr>
        <w:rPr>
          <w:lang w:val="lt-LT"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78159B" w:rsidRPr="0037313F" w14:paraId="433DF978" w14:textId="77777777" w:rsidTr="0054188D">
        <w:tc>
          <w:tcPr>
            <w:tcW w:w="396" w:type="dxa"/>
          </w:tcPr>
          <w:p w14:paraId="433DF96A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1.</w:t>
            </w:r>
          </w:p>
        </w:tc>
        <w:tc>
          <w:tcPr>
            <w:tcW w:w="2689" w:type="dxa"/>
          </w:tcPr>
          <w:p w14:paraId="433DF973" w14:textId="08D6FE5F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433DF977" w14:textId="29EFDD95" w:rsidR="0078159B" w:rsidRPr="006862DC" w:rsidRDefault="0008275E" w:rsidP="00342AF2">
            <w:pPr>
              <w:jc w:val="both"/>
              <w:rPr>
                <w:lang w:val="lt-LT"/>
              </w:rPr>
            </w:pPr>
            <w:r w:rsidRPr="006862DC">
              <w:rPr>
                <w:lang w:val="lt-LT"/>
              </w:rPr>
              <w:t>Savivaldybės tarybos  priimtas sprendimas sudarys teisinį pagrindą savivaldybei skirtas mokymo lėšas paskirstyti švietimo įstaigoms</w:t>
            </w:r>
            <w:r w:rsidR="00D378DD">
              <w:rPr>
                <w:lang w:val="lt-LT"/>
              </w:rPr>
              <w:t>.</w:t>
            </w:r>
          </w:p>
        </w:tc>
      </w:tr>
      <w:tr w:rsidR="0078159B" w:rsidRPr="0037313F" w14:paraId="433DF987" w14:textId="77777777" w:rsidTr="00BA3A81">
        <w:trPr>
          <w:trHeight w:val="1963"/>
        </w:trPr>
        <w:tc>
          <w:tcPr>
            <w:tcW w:w="396" w:type="dxa"/>
          </w:tcPr>
          <w:p w14:paraId="433DF979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433DF97A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 xml:space="preserve">Šiuo metu galiojančios ir teikiamu klausimu siūlomos naujos teisinio reguliavimo </w:t>
            </w:r>
          </w:p>
          <w:p w14:paraId="433DF97E" w14:textId="454E002B" w:rsidR="0078159B" w:rsidRPr="0078159B" w:rsidRDefault="006862DC" w:rsidP="0078159B">
            <w:pPr>
              <w:rPr>
                <w:lang w:val="lt-LT"/>
              </w:rPr>
            </w:pPr>
            <w:r>
              <w:rPr>
                <w:lang w:val="lt-LT"/>
              </w:rPr>
              <w:t>n</w:t>
            </w:r>
            <w:r w:rsidR="0078159B" w:rsidRPr="0078159B">
              <w:rPr>
                <w:lang w:val="lt-LT"/>
              </w:rPr>
              <w:t>uostato</w:t>
            </w:r>
            <w:r>
              <w:rPr>
                <w:lang w:val="lt-LT"/>
              </w:rPr>
              <w:t>s</w:t>
            </w:r>
          </w:p>
        </w:tc>
        <w:tc>
          <w:tcPr>
            <w:tcW w:w="6712" w:type="dxa"/>
          </w:tcPr>
          <w:p w14:paraId="38FEBBEB" w14:textId="44B198FA" w:rsidR="00CE3EA1" w:rsidRDefault="00CE3EA1" w:rsidP="0008275E">
            <w:pPr>
              <w:tabs>
                <w:tab w:val="left" w:pos="851"/>
              </w:tabs>
              <w:suppressAutoHyphens/>
              <w:jc w:val="both"/>
              <w:rPr>
                <w:lang w:val="lt-LT"/>
              </w:rPr>
            </w:pPr>
            <w:r>
              <w:rPr>
                <w:lang w:val="lt-LT"/>
              </w:rPr>
              <w:t>Aprašas patvirtintas savivaldybės administracijos direktoriaus įsakymu ir nebeatitinka šiuo metu galiojančių teisės aktų</w:t>
            </w:r>
            <w:r w:rsidR="005F66E8">
              <w:rPr>
                <w:lang w:val="lt-LT"/>
              </w:rPr>
              <w:t>.</w:t>
            </w:r>
          </w:p>
          <w:p w14:paraId="17E3D192" w14:textId="6C469120" w:rsidR="0008275E" w:rsidRPr="006862DC" w:rsidRDefault="0008275E" w:rsidP="0008275E">
            <w:pPr>
              <w:tabs>
                <w:tab w:val="left" w:pos="851"/>
              </w:tabs>
              <w:suppressAutoHyphens/>
              <w:jc w:val="both"/>
              <w:rPr>
                <w:rFonts w:eastAsia="Batang"/>
                <w:lang w:val="lt-LT" w:eastAsia="ar-SA"/>
              </w:rPr>
            </w:pPr>
            <w:r w:rsidRPr="006862DC">
              <w:rPr>
                <w:lang w:val="lt-LT"/>
              </w:rPr>
              <w:t xml:space="preserve">Patvirtinus siūlomą sprendimo projektą Tvarkos aprašas atitiks </w:t>
            </w:r>
            <w:r w:rsidRPr="006862DC">
              <w:rPr>
                <w:rFonts w:eastAsia="Batang"/>
                <w:lang w:val="lt-LT" w:eastAsia="ar-SA"/>
              </w:rPr>
              <w:t>Lietuvos Respublikos Vyriausybės 2018 m. liepos 11 d. nutarimu Nr. 679</w:t>
            </w:r>
            <w:r w:rsidR="006862DC" w:rsidRPr="006862DC">
              <w:rPr>
                <w:rFonts w:eastAsia="Batang"/>
                <w:lang w:val="lt-LT" w:eastAsia="ar-SA"/>
              </w:rPr>
              <w:t xml:space="preserve"> (su vėlesniais pakeitimais)</w:t>
            </w:r>
            <w:r w:rsidRPr="006862DC">
              <w:rPr>
                <w:rFonts w:eastAsia="Batang"/>
                <w:lang w:val="lt-LT" w:eastAsia="ar-SA"/>
              </w:rPr>
              <w:t xml:space="preserve"> „Dėl Mokymo lėšų apskaičiavimo, paskirstymo ir panaudojimo tvarkos aprašo patvirtinimo</w:t>
            </w:r>
            <w:r w:rsidRPr="006862DC">
              <w:rPr>
                <w:rFonts w:eastAsia="Batang"/>
                <w:lang w:val="lt-LT"/>
              </w:rPr>
              <w:t>“</w:t>
            </w:r>
            <w:r w:rsidR="006862DC" w:rsidRPr="006862DC">
              <w:rPr>
                <w:rFonts w:eastAsia="Batang"/>
                <w:lang w:val="lt-LT"/>
              </w:rPr>
              <w:t xml:space="preserve"> nuostatas</w:t>
            </w:r>
            <w:r w:rsidR="005F66E8">
              <w:rPr>
                <w:rFonts w:eastAsia="Batang"/>
                <w:lang w:val="lt-LT"/>
              </w:rPr>
              <w:t>.</w:t>
            </w:r>
          </w:p>
          <w:p w14:paraId="433DF986" w14:textId="19EB8CD5" w:rsidR="008A03ED" w:rsidRPr="006862DC" w:rsidRDefault="008A03ED" w:rsidP="00795D6E">
            <w:pPr>
              <w:jc w:val="both"/>
              <w:rPr>
                <w:lang w:val="lt-LT"/>
              </w:rPr>
            </w:pPr>
          </w:p>
        </w:tc>
      </w:tr>
      <w:tr w:rsidR="0078159B" w:rsidRPr="0037313F" w14:paraId="433DF994" w14:textId="77777777" w:rsidTr="006862DC">
        <w:trPr>
          <w:trHeight w:val="667"/>
        </w:trPr>
        <w:tc>
          <w:tcPr>
            <w:tcW w:w="396" w:type="dxa"/>
          </w:tcPr>
          <w:p w14:paraId="433DF988" w14:textId="3372377E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3.</w:t>
            </w:r>
          </w:p>
        </w:tc>
        <w:tc>
          <w:tcPr>
            <w:tcW w:w="2689" w:type="dxa"/>
          </w:tcPr>
          <w:p w14:paraId="433DF989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Laukiami rezultatai</w:t>
            </w:r>
          </w:p>
          <w:p w14:paraId="433DF992" w14:textId="77777777" w:rsidR="0078159B" w:rsidRPr="0078159B" w:rsidRDefault="0078159B" w:rsidP="0078159B">
            <w:pPr>
              <w:rPr>
                <w:lang w:val="lt-LT"/>
              </w:rPr>
            </w:pPr>
          </w:p>
        </w:tc>
        <w:tc>
          <w:tcPr>
            <w:tcW w:w="6712" w:type="dxa"/>
          </w:tcPr>
          <w:p w14:paraId="433DF993" w14:textId="6A3A5E73" w:rsidR="0078159B" w:rsidRPr="006862DC" w:rsidRDefault="006862DC" w:rsidP="006862DC">
            <w:pPr>
              <w:tabs>
                <w:tab w:val="left" w:pos="851"/>
              </w:tabs>
              <w:suppressAutoHyphens/>
              <w:jc w:val="both"/>
              <w:rPr>
                <w:rFonts w:eastAsia="Batang"/>
                <w:lang w:val="lt-LT" w:eastAsia="ar-SA"/>
              </w:rPr>
            </w:pPr>
            <w:r>
              <w:rPr>
                <w:rFonts w:eastAsia="Batang"/>
                <w:lang w:val="lt-LT"/>
              </w:rPr>
              <w:t>Švietimo įstaigos turės galimybę ekonomiškai, teisingai ir skaidriai panaudoti skirtus asignavimus</w:t>
            </w:r>
            <w:r w:rsidR="005F66E8">
              <w:rPr>
                <w:rFonts w:eastAsia="Batang"/>
                <w:lang w:val="lt-LT"/>
              </w:rPr>
              <w:t>.</w:t>
            </w:r>
          </w:p>
        </w:tc>
      </w:tr>
      <w:tr w:rsidR="0078159B" w:rsidRPr="0037313F" w14:paraId="433DF99B" w14:textId="77777777" w:rsidTr="0054188D">
        <w:tc>
          <w:tcPr>
            <w:tcW w:w="396" w:type="dxa"/>
          </w:tcPr>
          <w:p w14:paraId="433DF995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433DF999" w14:textId="3AE936E3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433DF99A" w14:textId="5C465C49" w:rsidR="0078159B" w:rsidRPr="006862DC" w:rsidRDefault="00C53194" w:rsidP="00342AF2">
            <w:pPr>
              <w:ind w:hanging="45"/>
              <w:jc w:val="both"/>
              <w:rPr>
                <w:lang w:val="lt-LT"/>
              </w:rPr>
            </w:pPr>
            <w:r>
              <w:rPr>
                <w:lang w:val="lt-LT"/>
              </w:rPr>
              <w:t>Šiais metais savivaldybės biudžeto lėšų nereikės, o kitų metų biudžete bus skiriamos Valstybės biudžeto mokymo lėšos ir Savivaldybės biudžeto lėšos</w:t>
            </w:r>
            <w:r w:rsidR="005F66E8">
              <w:rPr>
                <w:lang w:val="lt-LT"/>
              </w:rPr>
              <w:t>.</w:t>
            </w:r>
          </w:p>
        </w:tc>
      </w:tr>
      <w:tr w:rsidR="0078159B" w:rsidRPr="0037313F" w14:paraId="433DF99F" w14:textId="77777777" w:rsidTr="0054188D">
        <w:tc>
          <w:tcPr>
            <w:tcW w:w="396" w:type="dxa"/>
          </w:tcPr>
          <w:p w14:paraId="433DF99C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33DF99D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433DF99E" w14:textId="03CB5A43" w:rsidR="0078159B" w:rsidRPr="00182F7D" w:rsidRDefault="00CE3EA1" w:rsidP="00611653">
            <w:pPr>
              <w:jc w:val="both"/>
              <w:rPr>
                <w:color w:val="FF0000"/>
                <w:lang w:val="lt-LT"/>
              </w:rPr>
            </w:pPr>
            <w:r w:rsidRPr="00CE3EA1">
              <w:rPr>
                <w:lang w:val="lt-LT"/>
              </w:rPr>
              <w:t>Teisės akte nenumatoma reguliuoti visuomeninių santykių, susijusių su Lietuvos Respublikos korupcijos prevencijos įstatymo 8 straipsnio 1 dalyje numatytais veiksmais, todėl teisės aktas nevertintinas antikorupciniu požiūriu</w:t>
            </w:r>
            <w:r w:rsidR="005F66E8">
              <w:rPr>
                <w:lang w:val="lt-LT"/>
              </w:rPr>
              <w:t>.</w:t>
            </w:r>
          </w:p>
        </w:tc>
      </w:tr>
      <w:tr w:rsidR="0078159B" w:rsidRPr="0037313F" w14:paraId="433DF9A5" w14:textId="77777777" w:rsidTr="0054188D">
        <w:tc>
          <w:tcPr>
            <w:tcW w:w="396" w:type="dxa"/>
          </w:tcPr>
          <w:p w14:paraId="433DF9A0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433DF9A3" w14:textId="02520750" w:rsidR="0078159B" w:rsidRPr="0078159B" w:rsidRDefault="0078159B" w:rsidP="00F37A1D">
            <w:pPr>
              <w:rPr>
                <w:lang w:val="lt-LT"/>
              </w:rPr>
            </w:pPr>
            <w:r w:rsidRPr="0078159B">
              <w:rPr>
                <w:color w:val="000000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433DF9A4" w14:textId="5807E551" w:rsidR="0078159B" w:rsidRPr="00182F7D" w:rsidRDefault="0078159B" w:rsidP="0078159B">
            <w:pPr>
              <w:rPr>
                <w:color w:val="FF0000"/>
                <w:lang w:val="lt-LT"/>
              </w:rPr>
            </w:pPr>
          </w:p>
        </w:tc>
      </w:tr>
      <w:tr w:rsidR="0078159B" w:rsidRPr="0078159B" w14:paraId="433DF9AA" w14:textId="77777777" w:rsidTr="0054188D">
        <w:tc>
          <w:tcPr>
            <w:tcW w:w="396" w:type="dxa"/>
          </w:tcPr>
          <w:p w14:paraId="433DF9A6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7.</w:t>
            </w:r>
          </w:p>
        </w:tc>
        <w:tc>
          <w:tcPr>
            <w:tcW w:w="2689" w:type="dxa"/>
          </w:tcPr>
          <w:p w14:paraId="433DF9A8" w14:textId="1FEF29DC" w:rsidR="0078159B" w:rsidRPr="0078159B" w:rsidRDefault="0078159B" w:rsidP="00F37A1D">
            <w:pPr>
              <w:rPr>
                <w:lang w:val="lt-LT"/>
              </w:rPr>
            </w:pPr>
            <w:r w:rsidRPr="0078159B">
              <w:rPr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433DF9A9" w14:textId="14D614F9" w:rsidR="0078159B" w:rsidRPr="00341964" w:rsidRDefault="0096762A" w:rsidP="0078159B">
            <w:pPr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</w:tr>
    </w:tbl>
    <w:p w14:paraId="433DF9AB" w14:textId="77777777" w:rsidR="0078159B" w:rsidRPr="00473F40" w:rsidRDefault="0078159B" w:rsidP="00473F40">
      <w:pPr>
        <w:jc w:val="both"/>
        <w:rPr>
          <w:lang w:val="lt-LT" w:eastAsia="lt-LT"/>
        </w:rPr>
      </w:pPr>
    </w:p>
    <w:sectPr w:rsidR="0078159B" w:rsidRPr="00473F40" w:rsidSect="00A01ECA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26C8" w14:textId="77777777" w:rsidR="002D0D7F" w:rsidRDefault="002D0D7F" w:rsidP="00F86F3B">
      <w:r>
        <w:separator/>
      </w:r>
    </w:p>
  </w:endnote>
  <w:endnote w:type="continuationSeparator" w:id="0">
    <w:p w14:paraId="66E612A3" w14:textId="77777777" w:rsidR="002D0D7F" w:rsidRDefault="002D0D7F" w:rsidP="00F8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756A" w14:textId="77777777" w:rsidR="002D0D7F" w:rsidRDefault="002D0D7F" w:rsidP="00F86F3B">
      <w:r>
        <w:separator/>
      </w:r>
    </w:p>
  </w:footnote>
  <w:footnote w:type="continuationSeparator" w:id="0">
    <w:p w14:paraId="5B322C91" w14:textId="77777777" w:rsidR="002D0D7F" w:rsidRDefault="002D0D7F" w:rsidP="00F86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4542" w14:textId="26FCFFD0" w:rsidR="00F86F3B" w:rsidRDefault="00F86F3B" w:rsidP="00F86F3B">
    <w:pPr>
      <w:pStyle w:val="Antrats"/>
      <w:jc w:val="right"/>
    </w:pPr>
    <w:proofErr w:type="spellStart"/>
    <w:r>
      <w:t>Projektas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E5D"/>
    <w:multiLevelType w:val="hybridMultilevel"/>
    <w:tmpl w:val="07EC4AD2"/>
    <w:lvl w:ilvl="0" w:tplc="C0DAFB5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10D22FA"/>
    <w:multiLevelType w:val="hybridMultilevel"/>
    <w:tmpl w:val="DAFCAAFE"/>
    <w:lvl w:ilvl="0" w:tplc="91CA80C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E1A47"/>
    <w:multiLevelType w:val="hybridMultilevel"/>
    <w:tmpl w:val="7334F2E0"/>
    <w:lvl w:ilvl="0" w:tplc="FB6C17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31128"/>
    <w:multiLevelType w:val="hybridMultilevel"/>
    <w:tmpl w:val="0BE24B30"/>
    <w:lvl w:ilvl="0" w:tplc="0427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E6721"/>
    <w:multiLevelType w:val="hybridMultilevel"/>
    <w:tmpl w:val="D2EEA910"/>
    <w:lvl w:ilvl="0" w:tplc="BC104D0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681C52B1"/>
    <w:multiLevelType w:val="hybridMultilevel"/>
    <w:tmpl w:val="B1B4E8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B0E91"/>
    <w:multiLevelType w:val="hybridMultilevel"/>
    <w:tmpl w:val="339C571C"/>
    <w:lvl w:ilvl="0" w:tplc="3CC00A3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0971508">
    <w:abstractNumId w:val="3"/>
  </w:num>
  <w:num w:numId="2" w16cid:durableId="1354918751">
    <w:abstractNumId w:val="6"/>
  </w:num>
  <w:num w:numId="3" w16cid:durableId="1139034074">
    <w:abstractNumId w:val="1"/>
  </w:num>
  <w:num w:numId="4" w16cid:durableId="1490750749">
    <w:abstractNumId w:val="0"/>
  </w:num>
  <w:num w:numId="5" w16cid:durableId="164635145">
    <w:abstractNumId w:val="4"/>
  </w:num>
  <w:num w:numId="6" w16cid:durableId="2041318814">
    <w:abstractNumId w:val="2"/>
  </w:num>
  <w:num w:numId="7" w16cid:durableId="861631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A8"/>
    <w:rsid w:val="000130CB"/>
    <w:rsid w:val="00036ECF"/>
    <w:rsid w:val="000514FD"/>
    <w:rsid w:val="0005172D"/>
    <w:rsid w:val="00076C82"/>
    <w:rsid w:val="00077F00"/>
    <w:rsid w:val="00080E20"/>
    <w:rsid w:val="000823D2"/>
    <w:rsid w:val="0008275E"/>
    <w:rsid w:val="000905FA"/>
    <w:rsid w:val="000960BF"/>
    <w:rsid w:val="000A421F"/>
    <w:rsid w:val="000B136E"/>
    <w:rsid w:val="000C121C"/>
    <w:rsid w:val="000C2013"/>
    <w:rsid w:val="000C5B69"/>
    <w:rsid w:val="000F443D"/>
    <w:rsid w:val="001118C0"/>
    <w:rsid w:val="001149AD"/>
    <w:rsid w:val="001218ED"/>
    <w:rsid w:val="00132BDA"/>
    <w:rsid w:val="00174822"/>
    <w:rsid w:val="00177A80"/>
    <w:rsid w:val="00182F7D"/>
    <w:rsid w:val="00190F98"/>
    <w:rsid w:val="001A7157"/>
    <w:rsid w:val="001B25E7"/>
    <w:rsid w:val="001B4FEF"/>
    <w:rsid w:val="001C103B"/>
    <w:rsid w:val="001D795C"/>
    <w:rsid w:val="001E1E14"/>
    <w:rsid w:val="001E22DC"/>
    <w:rsid w:val="001E3DC7"/>
    <w:rsid w:val="001E3F30"/>
    <w:rsid w:val="001F22A8"/>
    <w:rsid w:val="00207CF5"/>
    <w:rsid w:val="00220F27"/>
    <w:rsid w:val="00226257"/>
    <w:rsid w:val="00231324"/>
    <w:rsid w:val="00237C28"/>
    <w:rsid w:val="002408AF"/>
    <w:rsid w:val="00251E01"/>
    <w:rsid w:val="00260A69"/>
    <w:rsid w:val="00272BE3"/>
    <w:rsid w:val="00273D86"/>
    <w:rsid w:val="002767A2"/>
    <w:rsid w:val="00281835"/>
    <w:rsid w:val="002952A0"/>
    <w:rsid w:val="002A59E7"/>
    <w:rsid w:val="002A7BB6"/>
    <w:rsid w:val="002C4DDE"/>
    <w:rsid w:val="002D0D7F"/>
    <w:rsid w:val="002D0E9D"/>
    <w:rsid w:val="002D2E72"/>
    <w:rsid w:val="002E310A"/>
    <w:rsid w:val="002F1766"/>
    <w:rsid w:val="00300A45"/>
    <w:rsid w:val="0031204E"/>
    <w:rsid w:val="003223F3"/>
    <w:rsid w:val="00322410"/>
    <w:rsid w:val="00325005"/>
    <w:rsid w:val="0032517C"/>
    <w:rsid w:val="00341964"/>
    <w:rsid w:val="00342AF2"/>
    <w:rsid w:val="003439D7"/>
    <w:rsid w:val="00371C76"/>
    <w:rsid w:val="0037313F"/>
    <w:rsid w:val="00391A5E"/>
    <w:rsid w:val="003A536C"/>
    <w:rsid w:val="003B2F45"/>
    <w:rsid w:val="003B783A"/>
    <w:rsid w:val="003C7644"/>
    <w:rsid w:val="003D6D41"/>
    <w:rsid w:val="003F5FCF"/>
    <w:rsid w:val="0040189D"/>
    <w:rsid w:val="00411999"/>
    <w:rsid w:val="004209E4"/>
    <w:rsid w:val="004258AE"/>
    <w:rsid w:val="00425954"/>
    <w:rsid w:val="0043130F"/>
    <w:rsid w:val="00456D56"/>
    <w:rsid w:val="00464C6F"/>
    <w:rsid w:val="00470EA9"/>
    <w:rsid w:val="00473F40"/>
    <w:rsid w:val="0047520D"/>
    <w:rsid w:val="00482F6C"/>
    <w:rsid w:val="00486ACC"/>
    <w:rsid w:val="004E34D7"/>
    <w:rsid w:val="004E649F"/>
    <w:rsid w:val="004E77F2"/>
    <w:rsid w:val="004F2030"/>
    <w:rsid w:val="00503E0C"/>
    <w:rsid w:val="00511E41"/>
    <w:rsid w:val="005401CA"/>
    <w:rsid w:val="00547453"/>
    <w:rsid w:val="00564081"/>
    <w:rsid w:val="005672DB"/>
    <w:rsid w:val="00567EF9"/>
    <w:rsid w:val="00572AE8"/>
    <w:rsid w:val="005777E7"/>
    <w:rsid w:val="005B0437"/>
    <w:rsid w:val="005B3006"/>
    <w:rsid w:val="005D2BAE"/>
    <w:rsid w:val="005D7B75"/>
    <w:rsid w:val="005E1BDB"/>
    <w:rsid w:val="005E5562"/>
    <w:rsid w:val="005E6BBF"/>
    <w:rsid w:val="005F66E8"/>
    <w:rsid w:val="00605F35"/>
    <w:rsid w:val="00606256"/>
    <w:rsid w:val="006074B1"/>
    <w:rsid w:val="00611653"/>
    <w:rsid w:val="00625BC2"/>
    <w:rsid w:val="0064097B"/>
    <w:rsid w:val="00645F51"/>
    <w:rsid w:val="00657585"/>
    <w:rsid w:val="00677203"/>
    <w:rsid w:val="00677881"/>
    <w:rsid w:val="006862DC"/>
    <w:rsid w:val="00692BEB"/>
    <w:rsid w:val="00697558"/>
    <w:rsid w:val="00697657"/>
    <w:rsid w:val="006A1716"/>
    <w:rsid w:val="006B1927"/>
    <w:rsid w:val="006B52F8"/>
    <w:rsid w:val="006B54BE"/>
    <w:rsid w:val="006C038B"/>
    <w:rsid w:val="006C4F6A"/>
    <w:rsid w:val="006C5982"/>
    <w:rsid w:val="006D434F"/>
    <w:rsid w:val="006E62A2"/>
    <w:rsid w:val="006F0620"/>
    <w:rsid w:val="006F3D5A"/>
    <w:rsid w:val="00700235"/>
    <w:rsid w:val="007135C8"/>
    <w:rsid w:val="007137F3"/>
    <w:rsid w:val="007257A3"/>
    <w:rsid w:val="00747322"/>
    <w:rsid w:val="00754DEF"/>
    <w:rsid w:val="00775881"/>
    <w:rsid w:val="0078159B"/>
    <w:rsid w:val="00792B06"/>
    <w:rsid w:val="00795D6E"/>
    <w:rsid w:val="007B4528"/>
    <w:rsid w:val="007D0B74"/>
    <w:rsid w:val="007D0FAC"/>
    <w:rsid w:val="007F423C"/>
    <w:rsid w:val="007F561E"/>
    <w:rsid w:val="00801C32"/>
    <w:rsid w:val="0081242C"/>
    <w:rsid w:val="00817D7F"/>
    <w:rsid w:val="0082034E"/>
    <w:rsid w:val="00824C07"/>
    <w:rsid w:val="008520E4"/>
    <w:rsid w:val="00865CBB"/>
    <w:rsid w:val="0086655D"/>
    <w:rsid w:val="008808FF"/>
    <w:rsid w:val="00890EFB"/>
    <w:rsid w:val="0089399E"/>
    <w:rsid w:val="008953AB"/>
    <w:rsid w:val="008A03ED"/>
    <w:rsid w:val="008A4741"/>
    <w:rsid w:val="008B6451"/>
    <w:rsid w:val="008B73C0"/>
    <w:rsid w:val="008C0D6A"/>
    <w:rsid w:val="008C4C2B"/>
    <w:rsid w:val="008D61A3"/>
    <w:rsid w:val="008E53B0"/>
    <w:rsid w:val="00906CD0"/>
    <w:rsid w:val="00942339"/>
    <w:rsid w:val="009512F3"/>
    <w:rsid w:val="0095499F"/>
    <w:rsid w:val="00963A14"/>
    <w:rsid w:val="0096762A"/>
    <w:rsid w:val="00980716"/>
    <w:rsid w:val="009819CD"/>
    <w:rsid w:val="00991E78"/>
    <w:rsid w:val="009B1AD2"/>
    <w:rsid w:val="009B6426"/>
    <w:rsid w:val="009D1A86"/>
    <w:rsid w:val="009E327C"/>
    <w:rsid w:val="009E57A0"/>
    <w:rsid w:val="009E5D63"/>
    <w:rsid w:val="009F5123"/>
    <w:rsid w:val="00A01ECA"/>
    <w:rsid w:val="00A07573"/>
    <w:rsid w:val="00A16C7F"/>
    <w:rsid w:val="00A22F84"/>
    <w:rsid w:val="00A25177"/>
    <w:rsid w:val="00A32885"/>
    <w:rsid w:val="00A45212"/>
    <w:rsid w:val="00A579D3"/>
    <w:rsid w:val="00A67180"/>
    <w:rsid w:val="00A7561D"/>
    <w:rsid w:val="00A92EF9"/>
    <w:rsid w:val="00AA3FE5"/>
    <w:rsid w:val="00AA4FC4"/>
    <w:rsid w:val="00AF3C17"/>
    <w:rsid w:val="00B03801"/>
    <w:rsid w:val="00B413F7"/>
    <w:rsid w:val="00B4233C"/>
    <w:rsid w:val="00B450A1"/>
    <w:rsid w:val="00B623AF"/>
    <w:rsid w:val="00B63560"/>
    <w:rsid w:val="00B73490"/>
    <w:rsid w:val="00B76CBF"/>
    <w:rsid w:val="00B853A9"/>
    <w:rsid w:val="00B85DB2"/>
    <w:rsid w:val="00B87306"/>
    <w:rsid w:val="00BA3A81"/>
    <w:rsid w:val="00BB0FF6"/>
    <w:rsid w:val="00BB2CE1"/>
    <w:rsid w:val="00BC4AEC"/>
    <w:rsid w:val="00BD21F3"/>
    <w:rsid w:val="00BD230F"/>
    <w:rsid w:val="00BE1905"/>
    <w:rsid w:val="00BE1973"/>
    <w:rsid w:val="00BF261B"/>
    <w:rsid w:val="00BF7FC8"/>
    <w:rsid w:val="00C40922"/>
    <w:rsid w:val="00C439D2"/>
    <w:rsid w:val="00C447FF"/>
    <w:rsid w:val="00C53194"/>
    <w:rsid w:val="00C577F8"/>
    <w:rsid w:val="00C64644"/>
    <w:rsid w:val="00C82320"/>
    <w:rsid w:val="00C8739A"/>
    <w:rsid w:val="00C9041B"/>
    <w:rsid w:val="00C909F7"/>
    <w:rsid w:val="00C93BB8"/>
    <w:rsid w:val="00C96DFE"/>
    <w:rsid w:val="00C970AC"/>
    <w:rsid w:val="00CB0F4F"/>
    <w:rsid w:val="00CB4670"/>
    <w:rsid w:val="00CC53C2"/>
    <w:rsid w:val="00CC76DF"/>
    <w:rsid w:val="00CD4B85"/>
    <w:rsid w:val="00CE3EA1"/>
    <w:rsid w:val="00CF3BD9"/>
    <w:rsid w:val="00CF6923"/>
    <w:rsid w:val="00D217B3"/>
    <w:rsid w:val="00D378DD"/>
    <w:rsid w:val="00D46504"/>
    <w:rsid w:val="00D7645E"/>
    <w:rsid w:val="00D81C19"/>
    <w:rsid w:val="00D84B5D"/>
    <w:rsid w:val="00D9454F"/>
    <w:rsid w:val="00D979F3"/>
    <w:rsid w:val="00DA0742"/>
    <w:rsid w:val="00DA6E9D"/>
    <w:rsid w:val="00DB50E6"/>
    <w:rsid w:val="00DC57C9"/>
    <w:rsid w:val="00DC6254"/>
    <w:rsid w:val="00DD0ADC"/>
    <w:rsid w:val="00DD4265"/>
    <w:rsid w:val="00DE438E"/>
    <w:rsid w:val="00E02EF6"/>
    <w:rsid w:val="00E273E8"/>
    <w:rsid w:val="00E36306"/>
    <w:rsid w:val="00E418E4"/>
    <w:rsid w:val="00E45DA0"/>
    <w:rsid w:val="00E67C0D"/>
    <w:rsid w:val="00E76B61"/>
    <w:rsid w:val="00E9227C"/>
    <w:rsid w:val="00EB0700"/>
    <w:rsid w:val="00EB386C"/>
    <w:rsid w:val="00EB68F5"/>
    <w:rsid w:val="00EC00A6"/>
    <w:rsid w:val="00ED77B5"/>
    <w:rsid w:val="00EE109B"/>
    <w:rsid w:val="00EE14CC"/>
    <w:rsid w:val="00EF27FB"/>
    <w:rsid w:val="00F0770F"/>
    <w:rsid w:val="00F1726A"/>
    <w:rsid w:val="00F37A1D"/>
    <w:rsid w:val="00F57602"/>
    <w:rsid w:val="00F608A1"/>
    <w:rsid w:val="00F74A0B"/>
    <w:rsid w:val="00F77877"/>
    <w:rsid w:val="00F86F3B"/>
    <w:rsid w:val="00F9074E"/>
    <w:rsid w:val="00F90FC0"/>
    <w:rsid w:val="00FA2C82"/>
    <w:rsid w:val="00FC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F938"/>
  <w15:docId w15:val="{C0E94BC5-17C5-4F3E-82F7-1291993C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F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F22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F22A8"/>
    <w:rPr>
      <w:rFonts w:ascii="Tahoma" w:eastAsia="Times New Roman" w:hAnsi="Tahoma" w:cs="Tahoma"/>
      <w:sz w:val="16"/>
      <w:szCs w:val="16"/>
      <w:lang w:val="en-US"/>
    </w:rPr>
  </w:style>
  <w:style w:type="paragraph" w:styleId="Sraopastraipa">
    <w:name w:val="List Paragraph"/>
    <w:basedOn w:val="prastasis"/>
    <w:uiPriority w:val="34"/>
    <w:qFormat/>
    <w:rsid w:val="001F22A8"/>
    <w:pPr>
      <w:ind w:left="720"/>
      <w:contextualSpacing/>
    </w:pPr>
  </w:style>
  <w:style w:type="table" w:styleId="Lentelstinklelis">
    <w:name w:val="Table Grid"/>
    <w:basedOn w:val="prastojilentel"/>
    <w:rsid w:val="00781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86F3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86F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F86F3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86F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31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taisymai">
    <w:name w:val="Revision"/>
    <w:hidden/>
    <w:uiPriority w:val="99"/>
    <w:semiHidden/>
    <w:rsid w:val="0034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A593D-27C6-47E5-9191-044864E6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1643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Grėbliauskienė</dc:creator>
  <cp:lastModifiedBy>Rasa Virbalienė</cp:lastModifiedBy>
  <cp:revision>3</cp:revision>
  <cp:lastPrinted>2023-11-13T08:17:00Z</cp:lastPrinted>
  <dcterms:created xsi:type="dcterms:W3CDTF">2023-11-16T13:45:00Z</dcterms:created>
  <dcterms:modified xsi:type="dcterms:W3CDTF">2023-11-16T14:31:00Z</dcterms:modified>
</cp:coreProperties>
</file>