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5F" w:rsidRDefault="0084345F" w:rsidP="00EB4BD6">
      <w:pPr>
        <w:spacing w:after="0"/>
        <w:rPr>
          <w:b/>
          <w:bCs/>
          <w:sz w:val="24"/>
          <w:szCs w:val="24"/>
          <w:lang w:val="lt-LT" w:eastAsia="lt-LT"/>
        </w:rPr>
      </w:pPr>
      <w:r w:rsidRPr="007E78E4">
        <w:rPr>
          <w:b/>
          <w:bCs/>
          <w:sz w:val="24"/>
          <w:szCs w:val="24"/>
          <w:lang w:val="lt-LT" w:eastAsia="lt-LT"/>
        </w:rPr>
        <w:t>Tarptautinės Kalėdų labdaros mugės, bendradarbiaujant su Vilniaus tarptautine moterų asociacija,  paramos gavėjų atrankos procedūra</w:t>
      </w:r>
    </w:p>
    <w:p w:rsidR="0084345F" w:rsidRDefault="0084345F" w:rsidP="00E97DAA">
      <w:pPr>
        <w:spacing w:after="0" w:line="240" w:lineRule="auto"/>
        <w:rPr>
          <w:b/>
          <w:bCs/>
          <w:sz w:val="24"/>
          <w:szCs w:val="24"/>
          <w:lang w:val="lt-LT" w:eastAsia="lt-LT"/>
        </w:rPr>
      </w:pPr>
    </w:p>
    <w:p w:rsidR="0084345F" w:rsidRPr="007E78E4" w:rsidRDefault="0084345F" w:rsidP="00E97DAA">
      <w:pPr>
        <w:spacing w:after="0" w:line="240" w:lineRule="auto"/>
        <w:rPr>
          <w:b/>
          <w:bCs/>
          <w:sz w:val="24"/>
          <w:szCs w:val="24"/>
          <w:lang w:val="lt-LT" w:eastAsia="lt-LT"/>
        </w:rPr>
      </w:pPr>
      <w:r>
        <w:rPr>
          <w:b/>
          <w:bCs/>
          <w:sz w:val="24"/>
          <w:szCs w:val="24"/>
          <w:lang w:val="lt-LT" w:eastAsia="lt-LT"/>
        </w:rPr>
        <w:t>2013 m.</w:t>
      </w:r>
    </w:p>
    <w:p w:rsidR="0084345F" w:rsidRPr="007E78E4" w:rsidRDefault="0084345F" w:rsidP="00E97DAA">
      <w:pPr>
        <w:spacing w:after="0" w:line="240" w:lineRule="auto"/>
        <w:rPr>
          <w:b/>
          <w:bCs/>
          <w:sz w:val="24"/>
          <w:szCs w:val="24"/>
          <w:lang w:val="lt-LT" w:eastAsia="lt-LT"/>
        </w:rPr>
      </w:pPr>
    </w:p>
    <w:p w:rsidR="0084345F" w:rsidRPr="007E78E4" w:rsidRDefault="0084345F" w:rsidP="00E97DAA">
      <w:pPr>
        <w:spacing w:after="0" w:line="240" w:lineRule="auto"/>
        <w:rPr>
          <w:b/>
          <w:bCs/>
          <w:lang w:val="lt-LT" w:eastAsia="lt-LT"/>
        </w:rPr>
      </w:pPr>
      <w:r w:rsidRPr="007E78E4">
        <w:rPr>
          <w:b/>
          <w:bCs/>
          <w:lang w:val="lt-LT" w:eastAsia="lt-LT"/>
        </w:rPr>
        <w:t>BENDROJI INFORMACIJA</w:t>
      </w:r>
    </w:p>
    <w:p w:rsidR="0084345F" w:rsidRDefault="0084345F" w:rsidP="00B6338D">
      <w:pPr>
        <w:spacing w:after="0" w:line="240" w:lineRule="auto"/>
        <w:jc w:val="both"/>
        <w:rPr>
          <w:lang w:val="lt-LT" w:eastAsia="lt-LT"/>
        </w:rPr>
      </w:pP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  <w:r w:rsidRPr="007E78E4">
        <w:rPr>
          <w:lang w:val="lt-LT" w:eastAsia="lt-LT"/>
        </w:rPr>
        <w:t>Tarptautinė Kalėdų labdaros mugė (ICCB)</w:t>
      </w:r>
      <w:r>
        <w:rPr>
          <w:lang w:val="lt-LT" w:eastAsia="lt-LT"/>
        </w:rPr>
        <w:t>:</w:t>
      </w: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</w:p>
    <w:p w:rsidR="0084345F" w:rsidRPr="007E78E4" w:rsidRDefault="0084345F" w:rsidP="00EB4BD6">
      <w:pPr>
        <w:pStyle w:val="ListParagraph"/>
        <w:numPr>
          <w:ilvl w:val="0"/>
          <w:numId w:val="4"/>
        </w:numPr>
        <w:spacing w:after="0"/>
        <w:jc w:val="both"/>
        <w:rPr>
          <w:lang w:val="lt-LT" w:eastAsia="lt-LT"/>
        </w:rPr>
      </w:pPr>
      <w:r w:rsidRPr="007E78E4">
        <w:rPr>
          <w:lang w:val="lt-LT" w:eastAsia="lt-LT"/>
        </w:rPr>
        <w:t>bendruomenės iniciatyva</w:t>
      </w:r>
      <w:r>
        <w:rPr>
          <w:lang w:val="lt-LT" w:eastAsia="lt-LT"/>
        </w:rPr>
        <w:t xml:space="preserve"> –</w:t>
      </w:r>
      <w:r w:rsidRPr="007E78E4">
        <w:rPr>
          <w:lang w:val="lt-LT" w:eastAsia="lt-LT"/>
        </w:rPr>
        <w:t xml:space="preserve"> kiekvieną gruod</w:t>
      </w:r>
      <w:r>
        <w:rPr>
          <w:lang w:val="lt-LT" w:eastAsia="lt-LT"/>
        </w:rPr>
        <w:t>į</w:t>
      </w:r>
      <w:r w:rsidRPr="007E78E4">
        <w:rPr>
          <w:lang w:val="lt-LT" w:eastAsia="lt-LT"/>
        </w:rPr>
        <w:t xml:space="preserve"> </w:t>
      </w:r>
      <w:r>
        <w:rPr>
          <w:lang w:val="lt-LT" w:eastAsia="lt-LT"/>
        </w:rPr>
        <w:t xml:space="preserve">Vilniuje vykstantis </w:t>
      </w:r>
      <w:r w:rsidRPr="007E78E4">
        <w:rPr>
          <w:lang w:val="lt-LT" w:eastAsia="lt-LT"/>
        </w:rPr>
        <w:t>labdaros renginys</w:t>
      </w:r>
      <w:r>
        <w:rPr>
          <w:lang w:val="lt-LT" w:eastAsia="lt-LT"/>
        </w:rPr>
        <w:t>,</w:t>
      </w:r>
      <w:r w:rsidRPr="007E78E4">
        <w:rPr>
          <w:lang w:val="lt-LT" w:eastAsia="lt-LT"/>
        </w:rPr>
        <w:t xml:space="preserve"> skirtas vaikams, moterims ir pagyvenusiems </w:t>
      </w:r>
      <w:r>
        <w:rPr>
          <w:lang w:val="lt-LT" w:eastAsia="lt-LT"/>
        </w:rPr>
        <w:t>žmonėms</w:t>
      </w:r>
      <w:r w:rsidRPr="007E78E4">
        <w:rPr>
          <w:lang w:val="lt-LT" w:eastAsia="lt-LT"/>
        </w:rPr>
        <w:t xml:space="preserve"> remti;</w:t>
      </w:r>
    </w:p>
    <w:p w:rsidR="0084345F" w:rsidRPr="007E78E4" w:rsidRDefault="0084345F" w:rsidP="00EB4BD6">
      <w:pPr>
        <w:pStyle w:val="ListParagraph"/>
        <w:numPr>
          <w:ilvl w:val="0"/>
          <w:numId w:val="4"/>
        </w:numPr>
        <w:spacing w:after="0"/>
        <w:jc w:val="both"/>
        <w:rPr>
          <w:lang w:val="lt-LT" w:eastAsia="lt-LT"/>
        </w:rPr>
      </w:pPr>
      <w:r w:rsidRPr="007E78E4">
        <w:rPr>
          <w:lang w:val="lt-LT" w:eastAsia="lt-LT"/>
        </w:rPr>
        <w:t xml:space="preserve">organizuojama laikino organizacinio komiteto, kurį sudaro </w:t>
      </w:r>
      <w:r>
        <w:rPr>
          <w:lang w:val="lt-LT" w:eastAsia="lt-LT"/>
        </w:rPr>
        <w:t>atstovai</w:t>
      </w:r>
      <w:r w:rsidRPr="007E78E4">
        <w:rPr>
          <w:lang w:val="lt-LT" w:eastAsia="lt-LT"/>
        </w:rPr>
        <w:t xml:space="preserve"> iš diplomatinių, verslo ir mokyklų bendruomenių</w:t>
      </w:r>
      <w:r>
        <w:rPr>
          <w:lang w:val="lt-LT" w:eastAsia="lt-LT"/>
        </w:rPr>
        <w:t>,</w:t>
      </w:r>
      <w:r w:rsidRPr="007E78E4">
        <w:rPr>
          <w:lang w:val="lt-LT" w:eastAsia="lt-LT"/>
        </w:rPr>
        <w:t xml:space="preserve"> taip pat atskiri savanoriai;</w:t>
      </w:r>
    </w:p>
    <w:p w:rsidR="0084345F" w:rsidRPr="007E78E4" w:rsidRDefault="0084345F" w:rsidP="00EB4BD6">
      <w:pPr>
        <w:pStyle w:val="ListParagraph"/>
        <w:numPr>
          <w:ilvl w:val="0"/>
          <w:numId w:val="4"/>
        </w:numPr>
        <w:spacing w:after="0"/>
        <w:jc w:val="both"/>
        <w:rPr>
          <w:lang w:val="lt-LT" w:eastAsia="lt-LT"/>
        </w:rPr>
      </w:pPr>
      <w:r w:rsidRPr="007E78E4">
        <w:rPr>
          <w:lang w:val="lt-LT" w:eastAsia="lt-LT"/>
        </w:rPr>
        <w:t>veikia vadovaudamasi teisini</w:t>
      </w:r>
      <w:r>
        <w:rPr>
          <w:lang w:val="lt-LT" w:eastAsia="lt-LT"/>
        </w:rPr>
        <w:t>u</w:t>
      </w:r>
      <w:r w:rsidRPr="007E78E4">
        <w:rPr>
          <w:lang w:val="lt-LT" w:eastAsia="lt-LT"/>
        </w:rPr>
        <w:t xml:space="preserve"> Vilniaus tarptautinės moterų asociacijos (IWAV) pagrind</w:t>
      </w:r>
      <w:r>
        <w:rPr>
          <w:lang w:val="lt-LT" w:eastAsia="lt-LT"/>
        </w:rPr>
        <w:t>u</w:t>
      </w:r>
      <w:r w:rsidRPr="007E78E4">
        <w:rPr>
          <w:lang w:val="lt-LT" w:eastAsia="lt-LT"/>
        </w:rPr>
        <w:t>;</w:t>
      </w:r>
    </w:p>
    <w:p w:rsidR="0084345F" w:rsidRPr="007E78E4" w:rsidRDefault="0084345F" w:rsidP="00EB4BD6">
      <w:pPr>
        <w:pStyle w:val="ListParagraph"/>
        <w:numPr>
          <w:ilvl w:val="0"/>
          <w:numId w:val="4"/>
        </w:numPr>
        <w:spacing w:after="0"/>
        <w:jc w:val="both"/>
        <w:rPr>
          <w:lang w:val="lt-LT" w:eastAsia="lt-LT"/>
        </w:rPr>
      </w:pPr>
      <w:r w:rsidRPr="007E78E4">
        <w:rPr>
          <w:lang w:val="lt-LT" w:eastAsia="lt-LT"/>
        </w:rPr>
        <w:t>siekia suteikti konkrečią paramą atrinktiems labdaros projektams, rėmėjams ir savanoriams renkant aukas mainais į  dovanas.</w:t>
      </w: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  <w:r w:rsidRPr="007E78E4">
        <w:rPr>
          <w:lang w:val="lt-LT" w:eastAsia="lt-LT"/>
        </w:rPr>
        <w:t xml:space="preserve">Labdaros pakomitetis atsako už potencialių paramos gavėjų atranką, peržiūri pasiūlymus, lankosi vietose ir, remdamasis nustatytais atrankos kriterijais, rekomenduoja </w:t>
      </w:r>
      <w:r>
        <w:rPr>
          <w:lang w:val="lt-LT" w:eastAsia="lt-LT"/>
        </w:rPr>
        <w:t>o</w:t>
      </w:r>
      <w:r w:rsidRPr="007E78E4">
        <w:rPr>
          <w:lang w:val="lt-LT" w:eastAsia="lt-LT"/>
        </w:rPr>
        <w:t>rganizaciniam komitetui</w:t>
      </w:r>
      <w:r>
        <w:rPr>
          <w:lang w:val="lt-LT" w:eastAsia="lt-LT"/>
        </w:rPr>
        <w:t xml:space="preserve"> </w:t>
      </w:r>
      <w:r w:rsidRPr="007E78E4">
        <w:rPr>
          <w:lang w:val="lt-LT" w:eastAsia="lt-LT"/>
        </w:rPr>
        <w:t>potencialius paramos gavėjus, taip pat palaiko ryšį su paramos gavėjais įgyvendinant projektą.</w:t>
      </w: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  <w:r w:rsidRPr="007E78E4">
        <w:rPr>
          <w:lang w:val="lt-LT" w:eastAsia="lt-LT"/>
        </w:rPr>
        <w:t xml:space="preserve">Paramos paraiškos bus priimamos iki birželio </w:t>
      </w:r>
      <w:r>
        <w:rPr>
          <w:lang w:val="lt-LT" w:eastAsia="lt-LT"/>
        </w:rPr>
        <w:t>7</w:t>
      </w:r>
      <w:r w:rsidRPr="007E78E4">
        <w:rPr>
          <w:lang w:val="lt-LT" w:eastAsia="lt-LT"/>
        </w:rPr>
        <w:t xml:space="preserve"> d. </w:t>
      </w:r>
      <w:r w:rsidRPr="007E78E4">
        <w:rPr>
          <w:lang w:val="lt-LT"/>
        </w:rPr>
        <w:t>Registruotos Lietuvos viešosios institucijos</w:t>
      </w:r>
      <w:r w:rsidRPr="007E78E4">
        <w:rPr>
          <w:lang w:val="lt-LT" w:eastAsia="lt-LT"/>
        </w:rPr>
        <w:t xml:space="preserve"> gali peržiūrėti paraiškų pateikimo tvarką, parsisiųsti  dokumentus ir sužinoti naujienas interneto svetainė</w:t>
      </w:r>
      <w:r>
        <w:rPr>
          <w:lang w:val="lt-LT" w:eastAsia="lt-LT"/>
        </w:rPr>
        <w:t>je</w:t>
      </w:r>
      <w:r w:rsidRPr="007E78E4">
        <w:rPr>
          <w:lang w:val="lt-LT" w:eastAsia="lt-LT"/>
        </w:rPr>
        <w:t xml:space="preserve"> </w:t>
      </w:r>
      <w:r w:rsidRPr="00FF0460">
        <w:rPr>
          <w:lang w:val="lt-LT"/>
        </w:rPr>
        <w:t>(</w:t>
      </w:r>
      <w:hyperlink r:id="rId5" w:history="1">
        <w:r w:rsidRPr="00D3587E">
          <w:rPr>
            <w:rStyle w:val="Hyperlink"/>
            <w:rFonts w:cs="Calibri"/>
            <w:lang w:val="en-GB"/>
          </w:rPr>
          <w:t>www.ICCB.lt/charity</w:t>
        </w:r>
      </w:hyperlink>
      <w:r w:rsidRPr="00FF0460">
        <w:rPr>
          <w:lang w:val="lt-LT"/>
        </w:rPr>
        <w:t>).</w:t>
      </w: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  <w:r w:rsidRPr="007E78E4">
        <w:rPr>
          <w:lang w:val="lt-LT" w:eastAsia="lt-LT"/>
        </w:rPr>
        <w:t xml:space="preserve">Apsilankymai vietose  organizuojami birželio ir liepos mėnesiais. Projektai, geriausiai atitinkantys atrankos kriterijus, bus rekomenduojami </w:t>
      </w:r>
      <w:r>
        <w:rPr>
          <w:lang w:val="lt-LT" w:eastAsia="lt-LT"/>
        </w:rPr>
        <w:t>o</w:t>
      </w:r>
      <w:r w:rsidRPr="007E78E4">
        <w:rPr>
          <w:lang w:val="lt-LT" w:eastAsia="lt-LT"/>
        </w:rPr>
        <w:t>rganizaciniam komitetui tvirtinti. Organizacinis komitetas pasirinktus paramos gavėjus patvirtina liepos mėnesį. Paramos suma nustatoma remiantis mugėje surinktų lėšų rezultatais gruodžio mėnesį.</w:t>
      </w: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</w:p>
    <w:p w:rsidR="0084345F" w:rsidRPr="007E78E4" w:rsidRDefault="0084345F" w:rsidP="00EB4BD6">
      <w:pPr>
        <w:spacing w:after="0"/>
        <w:jc w:val="both"/>
        <w:rPr>
          <w:lang w:val="lt-LT" w:eastAsia="lt-LT"/>
        </w:rPr>
      </w:pPr>
      <w:r w:rsidRPr="007E78E4">
        <w:rPr>
          <w:lang w:val="lt-LT" w:eastAsia="lt-LT"/>
        </w:rPr>
        <w:t xml:space="preserve">Vilniaus tarptautinė moterų asociacija Tarptautinės Kalėdų labdaros mugės vardu teikia paramą apmokėdama medžiagų ar statybos darbų sąskaitas. Labdaros projektai turi būti užbaigti iki kitų metų gegužės 31 d. </w:t>
      </w:r>
    </w:p>
    <w:p w:rsidR="0084345F" w:rsidRDefault="0084345F" w:rsidP="00EB4BD6">
      <w:pPr>
        <w:spacing w:after="0"/>
        <w:jc w:val="both"/>
        <w:rPr>
          <w:lang w:val="lt-LT"/>
        </w:rPr>
      </w:pPr>
    </w:p>
    <w:p w:rsidR="0084345F" w:rsidRDefault="0084345F" w:rsidP="00EB4BD6">
      <w:pPr>
        <w:spacing w:after="0"/>
        <w:jc w:val="both"/>
        <w:rPr>
          <w:lang w:val="lt-LT"/>
        </w:rPr>
      </w:pPr>
    </w:p>
    <w:p w:rsidR="0084345F" w:rsidRDefault="0084345F" w:rsidP="00EB4BD6">
      <w:pPr>
        <w:spacing w:after="0"/>
        <w:jc w:val="both"/>
        <w:rPr>
          <w:lang w:val="lt-LT"/>
        </w:rPr>
      </w:pPr>
    </w:p>
    <w:p w:rsidR="0084345F" w:rsidRDefault="0084345F" w:rsidP="00EB4BD6">
      <w:pPr>
        <w:spacing w:after="0"/>
        <w:jc w:val="both"/>
        <w:rPr>
          <w:lang w:val="lt-LT"/>
        </w:rPr>
      </w:pPr>
    </w:p>
    <w:p w:rsidR="0084345F" w:rsidRDefault="0084345F" w:rsidP="00EB4BD6">
      <w:pPr>
        <w:spacing w:after="0"/>
        <w:jc w:val="both"/>
        <w:rPr>
          <w:lang w:val="lt-LT"/>
        </w:rPr>
      </w:pPr>
    </w:p>
    <w:p w:rsidR="0084345F" w:rsidRDefault="0084345F" w:rsidP="00EB4BD6">
      <w:pPr>
        <w:spacing w:after="0"/>
        <w:jc w:val="both"/>
        <w:rPr>
          <w:lang w:val="lt-LT"/>
        </w:rPr>
      </w:pPr>
    </w:p>
    <w:p w:rsidR="0084345F" w:rsidRDefault="0084345F" w:rsidP="00EB4BD6">
      <w:pPr>
        <w:spacing w:after="0"/>
        <w:jc w:val="both"/>
        <w:rPr>
          <w:lang w:val="lt-LT"/>
        </w:rPr>
      </w:pPr>
    </w:p>
    <w:p w:rsidR="0084345F" w:rsidRDefault="0084345F" w:rsidP="00EB4BD6">
      <w:pPr>
        <w:spacing w:after="0"/>
        <w:jc w:val="both"/>
        <w:rPr>
          <w:lang w:val="lt-LT"/>
        </w:rPr>
      </w:pPr>
    </w:p>
    <w:p w:rsidR="0084345F" w:rsidRDefault="0084345F" w:rsidP="00EB4BD6">
      <w:pPr>
        <w:spacing w:after="0"/>
        <w:jc w:val="both"/>
        <w:rPr>
          <w:lang w:val="lt-LT"/>
        </w:rPr>
      </w:pPr>
    </w:p>
    <w:p w:rsidR="0084345F" w:rsidRPr="00AF71FD" w:rsidRDefault="0084345F" w:rsidP="00EB4BD6">
      <w:pPr>
        <w:spacing w:after="0"/>
        <w:jc w:val="both"/>
        <w:rPr>
          <w:lang w:val="lt-LT"/>
        </w:rPr>
      </w:pPr>
    </w:p>
    <w:p w:rsidR="0084345F" w:rsidRPr="00AF71FD" w:rsidRDefault="0084345F" w:rsidP="00EB4BD6">
      <w:pPr>
        <w:spacing w:after="0"/>
        <w:jc w:val="both"/>
        <w:rPr>
          <w:lang w:val="lt-LT"/>
        </w:rPr>
      </w:pPr>
    </w:p>
    <w:p w:rsidR="0084345F" w:rsidRPr="007E78E4" w:rsidRDefault="0084345F" w:rsidP="00EB4BD6">
      <w:pPr>
        <w:spacing w:after="0"/>
        <w:jc w:val="both"/>
        <w:rPr>
          <w:b/>
          <w:bCs/>
          <w:lang w:val="lt-LT" w:eastAsia="lt-LT"/>
        </w:rPr>
      </w:pPr>
      <w:r w:rsidRPr="007E78E4">
        <w:rPr>
          <w:b/>
          <w:bCs/>
          <w:lang w:val="lt-LT" w:eastAsia="lt-LT"/>
        </w:rPr>
        <w:t>ATRANKOS KRITERIJAI</w:t>
      </w:r>
    </w:p>
    <w:p w:rsidR="0084345F" w:rsidRDefault="0084345F" w:rsidP="00FB5CA4">
      <w:pPr>
        <w:jc w:val="both"/>
        <w:rPr>
          <w:lang w:val="lt-LT" w:eastAsia="lt-LT"/>
        </w:rPr>
      </w:pPr>
    </w:p>
    <w:p w:rsidR="0084345F" w:rsidRPr="007E78E4" w:rsidRDefault="0084345F" w:rsidP="00FB5CA4">
      <w:pPr>
        <w:jc w:val="both"/>
        <w:rPr>
          <w:lang w:val="lt-LT" w:eastAsia="lt-LT"/>
        </w:rPr>
      </w:pPr>
      <w:r w:rsidRPr="007E78E4">
        <w:rPr>
          <w:lang w:val="lt-LT" w:eastAsia="lt-LT"/>
        </w:rPr>
        <w:t>Pirminė paraiškų atranka vykdoma vadovaujantis šiais kriterijais: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 xml:space="preserve">Pareiškėjas turi būti registruota </w:t>
      </w:r>
      <w:r w:rsidRPr="007E78E4">
        <w:rPr>
          <w:lang w:val="lt-LT"/>
        </w:rPr>
        <w:t>Lietuvos viešoji įstaiga</w:t>
      </w:r>
      <w:r w:rsidRPr="007E78E4">
        <w:rPr>
          <w:lang w:val="lt-LT" w:eastAsia="lt-LT"/>
        </w:rPr>
        <w:t xml:space="preserve">, teikianti paslaugas vaikams, moterims ar pagyvenusiems </w:t>
      </w:r>
      <w:r>
        <w:rPr>
          <w:lang w:val="lt-LT" w:eastAsia="lt-LT"/>
        </w:rPr>
        <w:t>žmonėms</w:t>
      </w:r>
      <w:r w:rsidRPr="007E78E4">
        <w:rPr>
          <w:lang w:val="lt-LT" w:eastAsia="lt-LT"/>
        </w:rPr>
        <w:t>.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>Įstaigos paslaugos turi būti teikiamos nediskriminuojant</w:t>
      </w:r>
      <w:r>
        <w:rPr>
          <w:lang w:val="lt-LT" w:eastAsia="lt-LT"/>
        </w:rPr>
        <w:t xml:space="preserve"> dėl </w:t>
      </w:r>
      <w:r w:rsidRPr="007E78E4">
        <w:rPr>
          <w:lang w:val="lt-LT" w:eastAsia="lt-LT"/>
        </w:rPr>
        <w:t>rasės, lyties, etninės kilmės ar religijos.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>Parama teikiama konkrečiam projektui, apmokant reik</w:t>
      </w:r>
      <w:r>
        <w:rPr>
          <w:lang w:val="lt-LT" w:eastAsia="lt-LT"/>
        </w:rPr>
        <w:t>iamas</w:t>
      </w:r>
      <w:r w:rsidRPr="007E78E4">
        <w:rPr>
          <w:lang w:val="lt-LT" w:eastAsia="lt-LT"/>
        </w:rPr>
        <w:t xml:space="preserve"> medžiagas, naudojam</w:t>
      </w:r>
      <w:r>
        <w:rPr>
          <w:lang w:val="lt-LT" w:eastAsia="lt-LT"/>
        </w:rPr>
        <w:t>a</w:t>
      </w:r>
      <w:r w:rsidRPr="007E78E4">
        <w:rPr>
          <w:lang w:val="lt-LT" w:eastAsia="lt-LT"/>
        </w:rPr>
        <w:t xml:space="preserve">s paramos gavėjų gyvenimo ir darbo sąlygoms </w:t>
      </w:r>
      <w:r w:rsidRPr="00FF0460">
        <w:rPr>
          <w:lang w:val="lt-LT" w:eastAsia="lt-LT"/>
        </w:rPr>
        <w:t>tvariai</w:t>
      </w:r>
      <w:r w:rsidRPr="007E78E4">
        <w:rPr>
          <w:lang w:val="lt-LT" w:eastAsia="lt-LT"/>
        </w:rPr>
        <w:t xml:space="preserve"> gerinti. Kalėdų mugė paprastai nefinansuoja įstaigos veiklos, administracinių ar mokymo išlaidų</w:t>
      </w:r>
      <w:r>
        <w:rPr>
          <w:lang w:val="lt-LT" w:eastAsia="lt-LT"/>
        </w:rPr>
        <w:t>,</w:t>
      </w:r>
      <w:r w:rsidRPr="00FB5CA4">
        <w:rPr>
          <w:lang w:val="lt-LT"/>
        </w:rPr>
        <w:t xml:space="preserve"> </w:t>
      </w:r>
      <w:r>
        <w:rPr>
          <w:lang w:val="lt-LT"/>
        </w:rPr>
        <w:t>autotransporto priemonių, kompiuterinės technikos ar poilsio.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 xml:space="preserve">Pareiškėjai </w:t>
      </w:r>
      <w:r>
        <w:rPr>
          <w:lang w:val="lt-LT" w:eastAsia="lt-LT"/>
        </w:rPr>
        <w:t>privalo</w:t>
      </w:r>
      <w:r w:rsidRPr="007E78E4">
        <w:rPr>
          <w:lang w:val="lt-LT" w:eastAsia="lt-LT"/>
        </w:rPr>
        <w:t xml:space="preserve"> įrodyti, kad turi patirties veiksmingai sprendžiant tikslinių grupių poreikius.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>Organizacijos, kurios</w:t>
      </w:r>
      <w:r>
        <w:rPr>
          <w:lang w:val="lt-LT" w:eastAsia="lt-LT"/>
        </w:rPr>
        <w:t xml:space="preserve"> gavo paramą iš</w:t>
      </w:r>
      <w:r w:rsidRPr="007E78E4">
        <w:rPr>
          <w:lang w:val="lt-LT" w:eastAsia="lt-LT"/>
        </w:rPr>
        <w:t xml:space="preserve"> 201</w:t>
      </w:r>
      <w:r>
        <w:rPr>
          <w:lang w:val="lt-LT" w:eastAsia="lt-LT"/>
        </w:rPr>
        <w:t>2</w:t>
      </w:r>
      <w:r w:rsidRPr="007E78E4">
        <w:rPr>
          <w:lang w:val="lt-LT" w:eastAsia="lt-LT"/>
        </w:rPr>
        <w:t xml:space="preserve"> m. Tarptautinės Kalėdų labdaros mugės</w:t>
      </w:r>
      <w:r>
        <w:rPr>
          <w:lang w:val="lt-LT" w:eastAsia="lt-LT"/>
        </w:rPr>
        <w:t>,</w:t>
      </w:r>
      <w:r w:rsidRPr="007E78E4">
        <w:rPr>
          <w:lang w:val="lt-LT" w:eastAsia="lt-LT"/>
        </w:rPr>
        <w:t xml:space="preserve"> negali pretenduoti į paramą 201</w:t>
      </w:r>
      <w:r>
        <w:rPr>
          <w:lang w:val="lt-LT" w:eastAsia="lt-LT"/>
        </w:rPr>
        <w:t>3</w:t>
      </w:r>
      <w:r w:rsidRPr="007E78E4">
        <w:rPr>
          <w:lang w:val="lt-LT" w:eastAsia="lt-LT"/>
        </w:rPr>
        <w:t xml:space="preserve"> m.</w:t>
      </w:r>
    </w:p>
    <w:p w:rsidR="0084345F" w:rsidRDefault="0084345F" w:rsidP="00FB5CA4">
      <w:pPr>
        <w:spacing w:after="0"/>
        <w:jc w:val="both"/>
        <w:rPr>
          <w:lang w:val="lt-LT" w:eastAsia="lt-LT"/>
        </w:rPr>
      </w:pPr>
    </w:p>
    <w:p w:rsidR="0084345F" w:rsidRPr="007E78E4" w:rsidRDefault="0084345F" w:rsidP="00FB5CA4">
      <w:pPr>
        <w:jc w:val="both"/>
        <w:rPr>
          <w:lang w:val="lt-LT" w:eastAsia="lt-LT"/>
        </w:rPr>
      </w:pPr>
      <w:r w:rsidRPr="007E78E4">
        <w:rPr>
          <w:lang w:val="lt-LT" w:eastAsia="lt-LT"/>
        </w:rPr>
        <w:t xml:space="preserve">Apsilankius pas  </w:t>
      </w:r>
      <w:r>
        <w:rPr>
          <w:lang w:val="lt-LT" w:eastAsia="lt-LT"/>
        </w:rPr>
        <w:t xml:space="preserve">kandidatus, atrinktus per </w:t>
      </w:r>
      <w:r w:rsidRPr="007E78E4">
        <w:rPr>
          <w:lang w:val="lt-LT" w:eastAsia="lt-LT"/>
        </w:rPr>
        <w:t>pirmin</w:t>
      </w:r>
      <w:r>
        <w:rPr>
          <w:lang w:val="lt-LT" w:eastAsia="lt-LT"/>
        </w:rPr>
        <w:t>ę</w:t>
      </w:r>
      <w:r w:rsidRPr="007E78E4">
        <w:rPr>
          <w:lang w:val="lt-LT" w:eastAsia="lt-LT"/>
        </w:rPr>
        <w:t xml:space="preserve"> atrank</w:t>
      </w:r>
      <w:r>
        <w:rPr>
          <w:lang w:val="lt-LT" w:eastAsia="lt-LT"/>
        </w:rPr>
        <w:t>ą,</w:t>
      </w:r>
      <w:r w:rsidRPr="007E78E4">
        <w:rPr>
          <w:lang w:val="lt-LT" w:eastAsia="lt-LT"/>
        </w:rPr>
        <w:t xml:space="preserve"> tolesnė atranka vykdoma vadovaujantis šiais papildomais kriterijais: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>Prašymo aktualumas  (</w:t>
      </w:r>
      <w:r>
        <w:rPr>
          <w:lang w:val="lt-LT" w:eastAsia="lt-LT"/>
        </w:rPr>
        <w:t>žymus</w:t>
      </w:r>
      <w:r w:rsidRPr="007E78E4">
        <w:rPr>
          <w:lang w:val="lt-LT" w:eastAsia="lt-LT"/>
        </w:rPr>
        <w:t xml:space="preserve"> tikslinių grupių gyvenimo sąlygų pagerinimas).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 xml:space="preserve">Asmenų, </w:t>
      </w:r>
      <w:r>
        <w:rPr>
          <w:lang w:val="lt-LT" w:eastAsia="lt-LT"/>
        </w:rPr>
        <w:t xml:space="preserve">gaunančių </w:t>
      </w:r>
      <w:r w:rsidRPr="007E78E4">
        <w:rPr>
          <w:lang w:val="lt-LT" w:eastAsia="lt-LT"/>
        </w:rPr>
        <w:t>iš projekto</w:t>
      </w:r>
      <w:r>
        <w:rPr>
          <w:lang w:val="lt-LT" w:eastAsia="lt-LT"/>
        </w:rPr>
        <w:t xml:space="preserve"> naudos</w:t>
      </w:r>
      <w:r w:rsidRPr="007E78E4">
        <w:rPr>
          <w:lang w:val="lt-LT" w:eastAsia="lt-LT"/>
        </w:rPr>
        <w:t>, skaičius, palygin</w:t>
      </w:r>
      <w:r>
        <w:rPr>
          <w:lang w:val="lt-LT" w:eastAsia="lt-LT"/>
        </w:rPr>
        <w:t>ti</w:t>
      </w:r>
      <w:r w:rsidRPr="007E78E4">
        <w:rPr>
          <w:lang w:val="lt-LT" w:eastAsia="lt-LT"/>
        </w:rPr>
        <w:t xml:space="preserve"> su projekto sąnaudomis.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>Projekto kokybė.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>Prašomos paramos veiksmingumas tenkinant paramos gavėjų poreikius.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>Projekto tvarumas.</w:t>
      </w:r>
    </w:p>
    <w:p w:rsidR="0084345F" w:rsidRPr="007E78E4" w:rsidRDefault="0084345F" w:rsidP="00FB5CA4">
      <w:pPr>
        <w:pStyle w:val="ListParagraph"/>
        <w:numPr>
          <w:ilvl w:val="0"/>
          <w:numId w:val="6"/>
        </w:numPr>
        <w:jc w:val="both"/>
        <w:rPr>
          <w:lang w:val="lt-LT" w:eastAsia="lt-LT"/>
        </w:rPr>
      </w:pPr>
      <w:r w:rsidRPr="007E78E4">
        <w:rPr>
          <w:lang w:val="lt-LT" w:eastAsia="lt-LT"/>
        </w:rPr>
        <w:t>Kitos finansinės paramos (pvz., subsidijų, rėmėjų lėšų) gavimas.</w:t>
      </w:r>
    </w:p>
    <w:p w:rsidR="0084345F" w:rsidRPr="00E97DAA" w:rsidRDefault="0084345F" w:rsidP="00FB5CA4">
      <w:pPr>
        <w:spacing w:after="240"/>
        <w:jc w:val="right"/>
      </w:pPr>
      <w:r w:rsidRPr="007E78E4">
        <w:rPr>
          <w:lang w:val="lt-LT" w:eastAsia="lt-LT"/>
        </w:rPr>
        <w:br/>
      </w:r>
      <w:r w:rsidRPr="007E78E4">
        <w:rPr>
          <w:i/>
          <w:iCs/>
          <w:lang w:val="en-GB" w:eastAsia="lt-LT"/>
        </w:rPr>
        <w:t>I</w:t>
      </w:r>
      <w:r w:rsidRPr="007E78E4">
        <w:rPr>
          <w:i/>
          <w:iCs/>
          <w:lang w:val="lt-LT" w:eastAsia="lt-LT"/>
        </w:rPr>
        <w:t xml:space="preserve">CCB </w:t>
      </w:r>
      <w:r>
        <w:rPr>
          <w:i/>
          <w:iCs/>
          <w:lang w:val="lt-LT" w:eastAsia="lt-LT"/>
        </w:rPr>
        <w:t>o</w:t>
      </w:r>
      <w:r w:rsidRPr="007E78E4">
        <w:rPr>
          <w:i/>
          <w:iCs/>
          <w:lang w:val="lt-LT" w:eastAsia="lt-LT"/>
        </w:rPr>
        <w:t>rgani</w:t>
      </w:r>
      <w:r>
        <w:rPr>
          <w:i/>
          <w:iCs/>
          <w:lang w:val="lt-LT" w:eastAsia="lt-LT"/>
        </w:rPr>
        <w:t>zacinis komitetas, 2013</w:t>
      </w:r>
      <w:r w:rsidRPr="007E78E4">
        <w:rPr>
          <w:i/>
          <w:iCs/>
          <w:lang w:val="lt-LT" w:eastAsia="lt-LT"/>
        </w:rPr>
        <w:t xml:space="preserve"> m. </w:t>
      </w:r>
      <w:r>
        <w:rPr>
          <w:i/>
          <w:iCs/>
          <w:lang w:val="lt-LT" w:eastAsia="lt-LT"/>
        </w:rPr>
        <w:t>balandžio</w:t>
      </w:r>
      <w:r w:rsidRPr="007E78E4">
        <w:rPr>
          <w:i/>
          <w:iCs/>
          <w:lang w:val="lt-LT" w:eastAsia="lt-LT"/>
        </w:rPr>
        <w:t xml:space="preserve"> mėn.</w:t>
      </w:r>
    </w:p>
    <w:sectPr w:rsidR="0084345F" w:rsidRPr="00E97DAA" w:rsidSect="00E97DA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12F"/>
    <w:multiLevelType w:val="hybridMultilevel"/>
    <w:tmpl w:val="15CCAD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294C"/>
    <w:multiLevelType w:val="hybridMultilevel"/>
    <w:tmpl w:val="86F4B06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A56A43"/>
    <w:multiLevelType w:val="hybridMultilevel"/>
    <w:tmpl w:val="A6AA475C"/>
    <w:lvl w:ilvl="0" w:tplc="08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69E719A"/>
    <w:multiLevelType w:val="hybridMultilevel"/>
    <w:tmpl w:val="0832DF2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444F07"/>
    <w:multiLevelType w:val="hybridMultilevel"/>
    <w:tmpl w:val="EC563E0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6848D9"/>
    <w:multiLevelType w:val="hybridMultilevel"/>
    <w:tmpl w:val="5AEED26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3D7246"/>
    <w:multiLevelType w:val="hybridMultilevel"/>
    <w:tmpl w:val="D2DA913E"/>
    <w:lvl w:ilvl="0" w:tplc="B9A6A7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1296"/>
  <w:hyphenationZone w:val="396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569"/>
    <w:rsid w:val="00066239"/>
    <w:rsid w:val="0007410B"/>
    <w:rsid w:val="000C6D32"/>
    <w:rsid w:val="000D41D5"/>
    <w:rsid w:val="00141F79"/>
    <w:rsid w:val="001E4F0E"/>
    <w:rsid w:val="001E6AAD"/>
    <w:rsid w:val="001F3FB7"/>
    <w:rsid w:val="001F7D1A"/>
    <w:rsid w:val="00205206"/>
    <w:rsid w:val="002207C2"/>
    <w:rsid w:val="0022263C"/>
    <w:rsid w:val="00263657"/>
    <w:rsid w:val="00281546"/>
    <w:rsid w:val="002872C7"/>
    <w:rsid w:val="0032486F"/>
    <w:rsid w:val="003A139F"/>
    <w:rsid w:val="003B5CE2"/>
    <w:rsid w:val="003C6429"/>
    <w:rsid w:val="003C6C05"/>
    <w:rsid w:val="003D24D0"/>
    <w:rsid w:val="003E6D34"/>
    <w:rsid w:val="0040581E"/>
    <w:rsid w:val="005250CF"/>
    <w:rsid w:val="00563569"/>
    <w:rsid w:val="005C5512"/>
    <w:rsid w:val="005D33C0"/>
    <w:rsid w:val="00622FF4"/>
    <w:rsid w:val="00630E0B"/>
    <w:rsid w:val="00647B43"/>
    <w:rsid w:val="00664E84"/>
    <w:rsid w:val="00666915"/>
    <w:rsid w:val="006702FB"/>
    <w:rsid w:val="006936E4"/>
    <w:rsid w:val="006B2560"/>
    <w:rsid w:val="006B7644"/>
    <w:rsid w:val="006E27C7"/>
    <w:rsid w:val="007D24F2"/>
    <w:rsid w:val="007E78E4"/>
    <w:rsid w:val="008326C6"/>
    <w:rsid w:val="008412CD"/>
    <w:rsid w:val="0084345F"/>
    <w:rsid w:val="00872CB0"/>
    <w:rsid w:val="008751F1"/>
    <w:rsid w:val="00883679"/>
    <w:rsid w:val="00886DF9"/>
    <w:rsid w:val="008B7DA0"/>
    <w:rsid w:val="008F5E25"/>
    <w:rsid w:val="00962286"/>
    <w:rsid w:val="00A40FA4"/>
    <w:rsid w:val="00A62BBB"/>
    <w:rsid w:val="00A838D4"/>
    <w:rsid w:val="00AF71FD"/>
    <w:rsid w:val="00B165FD"/>
    <w:rsid w:val="00B6338D"/>
    <w:rsid w:val="00BC6C6D"/>
    <w:rsid w:val="00C57BCB"/>
    <w:rsid w:val="00C83425"/>
    <w:rsid w:val="00CC4107"/>
    <w:rsid w:val="00D3587E"/>
    <w:rsid w:val="00D40BF1"/>
    <w:rsid w:val="00D74FF0"/>
    <w:rsid w:val="00D85C4E"/>
    <w:rsid w:val="00D977A9"/>
    <w:rsid w:val="00DB2EBB"/>
    <w:rsid w:val="00E258E4"/>
    <w:rsid w:val="00E670BA"/>
    <w:rsid w:val="00E707EA"/>
    <w:rsid w:val="00E84648"/>
    <w:rsid w:val="00E97DAA"/>
    <w:rsid w:val="00EB4BD6"/>
    <w:rsid w:val="00EB7857"/>
    <w:rsid w:val="00F93472"/>
    <w:rsid w:val="00FB5CA4"/>
    <w:rsid w:val="00FE62C8"/>
    <w:rsid w:val="00FF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69"/>
    <w:pPr>
      <w:spacing w:after="200" w:line="276" w:lineRule="auto"/>
    </w:pPr>
    <w:rPr>
      <w:rFonts w:cs="Calibri"/>
      <w:lang w:val="fr-B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356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635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35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052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5206"/>
    <w:rPr>
      <w:rFonts w:ascii="Calibri" w:hAnsi="Calibri" w:cs="Calibri"/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5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52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206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CB.lt/char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2007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Tarptautinės Kalėdų labdaros mugės, bendradarbiaujant su Vilniaus tarptautine moterų asociacija,  paramos gavėjų atrankos proc</dc:title>
  <dc:subject/>
  <dc:creator>Dell</dc:creator>
  <cp:keywords/>
  <dc:description/>
  <cp:lastModifiedBy>Investicijos</cp:lastModifiedBy>
  <cp:revision>2</cp:revision>
  <cp:lastPrinted>2013-05-15T12:20:00Z</cp:lastPrinted>
  <dcterms:created xsi:type="dcterms:W3CDTF">2013-05-15T12:20:00Z</dcterms:created>
  <dcterms:modified xsi:type="dcterms:W3CDTF">2013-05-15T12:20:00Z</dcterms:modified>
</cp:coreProperties>
</file>