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73E88273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DE022E">
        <w:rPr>
          <w:b/>
          <w:sz w:val="24"/>
          <w:szCs w:val="24"/>
          <w:lang w:val="lt-LT"/>
        </w:rPr>
        <w:t>Ų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DE022E" w:rsidRPr="00DE022E">
        <w:rPr>
          <w:b/>
          <w:sz w:val="24"/>
          <w:szCs w:val="24"/>
          <w:lang w:val="lt-LT"/>
        </w:rPr>
        <w:t>ROKIŠKIO R. SAV., ROKIŠKIO MIESTO SEN., ROKIŠKIO M., NEPRIKLAUSOMYBĖS A. 5, NEPRIKLAUSOMYBĖS A. 4, NEPRIKLAUSOMYBĖS A. 3</w:t>
      </w:r>
      <w:r w:rsidR="009D1D68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1051199E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461B1F">
        <w:rPr>
          <w:sz w:val="24"/>
          <w:lang w:val="lt-LT"/>
        </w:rPr>
        <w:t>gegužės</w:t>
      </w:r>
      <w:r w:rsidR="00C55FD7" w:rsidRPr="0098720E">
        <w:rPr>
          <w:sz w:val="24"/>
          <w:lang w:val="lt-LT"/>
        </w:rPr>
        <w:t xml:space="preserve"> </w:t>
      </w:r>
      <w:r w:rsidR="00461B1F">
        <w:rPr>
          <w:sz w:val="24"/>
          <w:lang w:val="lt-LT"/>
        </w:rPr>
        <w:t>1</w:t>
      </w:r>
      <w:r w:rsidR="00DE022E">
        <w:rPr>
          <w:sz w:val="24"/>
          <w:lang w:val="lt-LT"/>
        </w:rPr>
        <w:t>5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C748B7">
        <w:rPr>
          <w:sz w:val="24"/>
          <w:lang w:val="lt-LT"/>
        </w:rPr>
        <w:t>312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2A90FFD7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1F4D96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75FAA039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DE022E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DE022E" w:rsidRPr="00DE022E">
        <w:rPr>
          <w:sz w:val="24"/>
          <w:szCs w:val="24"/>
          <w:lang w:val="lt-LT"/>
        </w:rPr>
        <w:t>138401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DE022E" w:rsidRPr="00DE022E">
        <w:rPr>
          <w:sz w:val="24"/>
          <w:szCs w:val="24"/>
          <w:lang w:val="lt-LT"/>
        </w:rPr>
        <w:t>Rokiškio r. sav., Rokiškio miesto sen., Rokiškio m., Nepriklausomybės a. 5, Nepriklausomybės a. 4, Nepriklausomybės a. 3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1F4D96" w:rsidRPr="001F4D96">
        <w:rPr>
          <w:sz w:val="24"/>
          <w:szCs w:val="24"/>
          <w:lang w:val="lt-LT"/>
        </w:rPr>
        <w:t xml:space="preserve">pertvarkyti žemės sklypus, </w:t>
      </w:r>
      <w:r w:rsidR="00DE022E" w:rsidRPr="00DE022E">
        <w:rPr>
          <w:sz w:val="24"/>
          <w:szCs w:val="24"/>
          <w:lang w:val="lt-LT"/>
        </w:rPr>
        <w:t>sujungti kelis bendras ribas turinčius tos pačios pagrindinės žemės naudojimo paskirties žemės sklypus į vieną, pakeisti gretimų tos pačios pagrindinės žemės naudojimo paskirties žemės sklypų ribą ar ribas (perdalijimas)</w:t>
      </w:r>
      <w:r w:rsidR="001F4D96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Pr="0098720E" w:rsidRDefault="007037E3" w:rsidP="0048460A">
      <w:pPr>
        <w:rPr>
          <w:sz w:val="24"/>
          <w:szCs w:val="24"/>
          <w:lang w:val="lt-LT"/>
        </w:rPr>
      </w:pPr>
    </w:p>
    <w:p w14:paraId="3717FCB3" w14:textId="77777777" w:rsidR="007037E3" w:rsidRDefault="007037E3" w:rsidP="007037E3">
      <w:pPr>
        <w:rPr>
          <w:sz w:val="24"/>
          <w:szCs w:val="24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Valerijus </w:t>
      </w:r>
      <w:proofErr w:type="spellStart"/>
      <w:r>
        <w:rPr>
          <w:sz w:val="24"/>
          <w:szCs w:val="24"/>
          <w:lang w:val="lt-LT"/>
        </w:rPr>
        <w:t>Rancevas</w:t>
      </w:r>
      <w:proofErr w:type="spellEnd"/>
      <w:r>
        <w:rPr>
          <w:sz w:val="24"/>
          <w:szCs w:val="24"/>
          <w:lang w:val="lt-LT"/>
        </w:rPr>
        <w:t xml:space="preserve"> 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2900" w14:textId="77777777" w:rsidR="00D67F4B" w:rsidRDefault="00D67F4B">
      <w:r>
        <w:separator/>
      </w:r>
    </w:p>
  </w:endnote>
  <w:endnote w:type="continuationSeparator" w:id="0">
    <w:p w14:paraId="34612267" w14:textId="77777777" w:rsidR="00D67F4B" w:rsidRDefault="00D6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EE9BE" w14:textId="77777777" w:rsidR="00D67F4B" w:rsidRDefault="00D67F4B">
      <w:r>
        <w:separator/>
      </w:r>
    </w:p>
  </w:footnote>
  <w:footnote w:type="continuationSeparator" w:id="0">
    <w:p w14:paraId="29DD5F35" w14:textId="77777777" w:rsidR="00D67F4B" w:rsidRDefault="00D67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C48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F2A59"/>
    <w:rsid w:val="001F4D96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3138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E7DD2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1B1F"/>
    <w:rsid w:val="00462AA4"/>
    <w:rsid w:val="00463FEF"/>
    <w:rsid w:val="00465522"/>
    <w:rsid w:val="00467238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1AD"/>
    <w:rsid w:val="006C4CC5"/>
    <w:rsid w:val="006C59C6"/>
    <w:rsid w:val="006D27F4"/>
    <w:rsid w:val="006D29D4"/>
    <w:rsid w:val="006E0547"/>
    <w:rsid w:val="006E0660"/>
    <w:rsid w:val="006E116D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1471F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1F3"/>
    <w:rsid w:val="00983415"/>
    <w:rsid w:val="0098459A"/>
    <w:rsid w:val="00984D92"/>
    <w:rsid w:val="0098720E"/>
    <w:rsid w:val="00992525"/>
    <w:rsid w:val="009B1E19"/>
    <w:rsid w:val="009D1475"/>
    <w:rsid w:val="009D1D68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23AA"/>
    <w:rsid w:val="00B840CF"/>
    <w:rsid w:val="00B92891"/>
    <w:rsid w:val="00B93953"/>
    <w:rsid w:val="00B978AA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054A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48B7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67F4B"/>
    <w:rsid w:val="00D7053C"/>
    <w:rsid w:val="00D750A9"/>
    <w:rsid w:val="00D778D3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022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176C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Jolita Kalačiovienė</cp:lastModifiedBy>
  <cp:revision>2</cp:revision>
  <cp:lastPrinted>2024-05-15T11:17:00Z</cp:lastPrinted>
  <dcterms:created xsi:type="dcterms:W3CDTF">2024-05-15T11:18:00Z</dcterms:created>
  <dcterms:modified xsi:type="dcterms:W3CDTF">2024-05-15T11:18:00Z</dcterms:modified>
</cp:coreProperties>
</file>