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A3C8" w14:textId="77777777" w:rsidR="003044D2" w:rsidRDefault="003044D2" w:rsidP="009649CA">
      <w:pPr>
        <w:rPr>
          <w:b/>
          <w:sz w:val="28"/>
        </w:rPr>
      </w:pPr>
    </w:p>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57A3F4C4"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903B02">
        <w:rPr>
          <w:sz w:val="24"/>
          <w:szCs w:val="24"/>
        </w:rPr>
        <w:t>193</w:t>
      </w:r>
      <w:r>
        <w:rPr>
          <w:sz w:val="24"/>
          <w:szCs w:val="24"/>
        </w:rPr>
        <w:t xml:space="preserve">                                                                             </w:t>
      </w:r>
    </w:p>
    <w:p w14:paraId="15A6E1AE" w14:textId="6C9039A0" w:rsidR="00504E6A" w:rsidRPr="00113237" w:rsidRDefault="00504E6A" w:rsidP="00504E6A">
      <w:pPr>
        <w:rPr>
          <w:b/>
          <w:sz w:val="24"/>
          <w:szCs w:val="24"/>
        </w:rPr>
      </w:pP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28F2EADC"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 xml:space="preserve">administracijos direktorius Valerijus </w:t>
      </w:r>
      <w:proofErr w:type="spellStart"/>
      <w:r>
        <w:rPr>
          <w:bCs/>
          <w:sz w:val="24"/>
          <w:szCs w:val="24"/>
        </w:rPr>
        <w:t>Rancev</w:t>
      </w:r>
      <w:r w:rsidR="00006BA8">
        <w:rPr>
          <w:bCs/>
          <w:sz w:val="24"/>
          <w:szCs w:val="24"/>
        </w:rPr>
        <w:t>as</w:t>
      </w:r>
      <w:proofErr w:type="spellEnd"/>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8765DF" w:rsidRPr="008765DF">
        <w:rPr>
          <w:color w:val="000000"/>
          <w:sz w:val="24"/>
          <w:szCs w:val="24"/>
        </w:rPr>
        <w:t>(</w:t>
      </w:r>
      <w:r w:rsidR="008765DF" w:rsidRPr="008765DF">
        <w:rPr>
          <w:i/>
          <w:iCs/>
          <w:color w:val="000000"/>
          <w:sz w:val="24"/>
          <w:szCs w:val="24"/>
        </w:rPr>
        <w:t>duomenys neskelbiami</w:t>
      </w:r>
      <w:r w:rsidR="008765DF" w:rsidRPr="008765DF">
        <w:rPr>
          <w:color w:val="000000"/>
          <w:sz w:val="24"/>
          <w:szCs w:val="24"/>
        </w:rPr>
        <w:t>)</w:t>
      </w:r>
      <w:r w:rsidRPr="008765DF">
        <w:rPr>
          <w:bCs/>
          <w:sz w:val="24"/>
          <w:szCs w:val="24"/>
        </w:rPr>
        <w:t>,</w:t>
      </w:r>
      <w:r w:rsidRPr="008765DF">
        <w:rPr>
          <w:sz w:val="24"/>
          <w:szCs w:val="24"/>
        </w:rPr>
        <w:t xml:space="preserve"> </w:t>
      </w:r>
      <w:r w:rsidRPr="003F62DD">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8765DF" w:rsidRPr="008765DF">
        <w:rPr>
          <w:color w:val="000000"/>
          <w:sz w:val="24"/>
          <w:szCs w:val="24"/>
        </w:rPr>
        <w:t>(</w:t>
      </w:r>
      <w:r w:rsidR="008765DF" w:rsidRPr="008765DF">
        <w:rPr>
          <w:i/>
          <w:iCs/>
          <w:color w:val="000000"/>
          <w:sz w:val="24"/>
          <w:szCs w:val="24"/>
        </w:rPr>
        <w:t>duomenys neskelbiami</w:t>
      </w:r>
      <w:r w:rsidR="008765DF" w:rsidRPr="008765DF">
        <w:rPr>
          <w:color w:val="000000"/>
          <w:sz w:val="24"/>
          <w:szCs w:val="24"/>
        </w:rPr>
        <w:t>)</w:t>
      </w:r>
      <w:r w:rsidR="00A33CA0">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1E439BC3"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8B245E" w:rsidRPr="0024366E">
        <w:rPr>
          <w:b/>
          <w:bCs/>
          <w:sz w:val="24"/>
          <w:szCs w:val="24"/>
        </w:rPr>
        <w:t>1</w:t>
      </w:r>
      <w:r w:rsidR="00A12BB7">
        <w:rPr>
          <w:b/>
          <w:sz w:val="24"/>
          <w:szCs w:val="24"/>
        </w:rPr>
        <w:t>,</w:t>
      </w:r>
      <w:r w:rsidR="008B245E">
        <w:rPr>
          <w:b/>
          <w:sz w:val="24"/>
          <w:szCs w:val="24"/>
        </w:rPr>
        <w:t>3704</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8765DF" w:rsidRPr="008765DF">
        <w:rPr>
          <w:color w:val="000000"/>
          <w:sz w:val="24"/>
          <w:szCs w:val="24"/>
        </w:rPr>
        <w:t>(</w:t>
      </w:r>
      <w:r w:rsidR="008765DF" w:rsidRPr="008765DF">
        <w:rPr>
          <w:i/>
          <w:iCs/>
          <w:color w:val="000000"/>
          <w:sz w:val="24"/>
          <w:szCs w:val="24"/>
        </w:rPr>
        <w:t>duomenys neskelbiami</w:t>
      </w:r>
      <w:r w:rsidR="008765DF" w:rsidRPr="008765DF">
        <w:rPr>
          <w:color w:val="000000"/>
          <w:sz w:val="24"/>
          <w:szCs w:val="24"/>
        </w:rPr>
        <w:t>)</w:t>
      </w:r>
      <w:r w:rsidR="008765DF">
        <w:rPr>
          <w:color w:val="000000"/>
          <w:sz w:val="24"/>
          <w:szCs w:val="24"/>
        </w:rPr>
        <w:t xml:space="preserve"> </w:t>
      </w:r>
      <w:r w:rsidR="003F62DD">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A33CA0">
        <w:rPr>
          <w:color w:val="000000"/>
          <w:sz w:val="24"/>
          <w:szCs w:val="24"/>
        </w:rPr>
        <w:t>62</w:t>
      </w:r>
      <w:r w:rsidR="003F62DD">
        <w:rPr>
          <w:color w:val="000000"/>
          <w:sz w:val="24"/>
          <w:szCs w:val="24"/>
        </w:rPr>
        <w:t>58</w:t>
      </w:r>
      <w:r w:rsidR="00EC341B">
        <w:rPr>
          <w:color w:val="000000"/>
          <w:sz w:val="24"/>
          <w:szCs w:val="24"/>
        </w:rPr>
        <w:t>-</w:t>
      </w:r>
      <w:r w:rsidR="008B245E">
        <w:rPr>
          <w:color w:val="000000"/>
          <w:sz w:val="24"/>
          <w:szCs w:val="24"/>
        </w:rPr>
        <w:t>5206</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3F62DD">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C8740C"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C8740C">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7E30E756"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100D0D">
        <w:rPr>
          <w:sz w:val="24"/>
          <w:szCs w:val="24"/>
        </w:rPr>
        <w:t>nėra.</w:t>
      </w:r>
    </w:p>
    <w:p w14:paraId="0198CEC1" w14:textId="7592C1E1" w:rsidR="00E6462E" w:rsidRPr="009E28C4" w:rsidRDefault="005C5BE7" w:rsidP="009E28C4">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197FBF">
        <w:rPr>
          <w:sz w:val="24"/>
          <w:szCs w:val="24"/>
        </w:rPr>
        <w:t>4030</w:t>
      </w:r>
      <w:r w:rsidR="00E6462E" w:rsidRPr="00E6462E">
        <w:rPr>
          <w:sz w:val="24"/>
          <w:szCs w:val="24"/>
        </w:rPr>
        <w:t xml:space="preserve"> Eur </w:t>
      </w:r>
      <w:r w:rsidR="004B6ADF">
        <w:rPr>
          <w:sz w:val="24"/>
        </w:rPr>
        <w:t>(</w:t>
      </w:r>
      <w:r w:rsidR="00197FBF">
        <w:rPr>
          <w:sz w:val="24"/>
        </w:rPr>
        <w:t>keturi</w:t>
      </w:r>
      <w:r w:rsidR="00100D0D">
        <w:rPr>
          <w:sz w:val="24"/>
        </w:rPr>
        <w:t xml:space="preserve"> tūkstanči</w:t>
      </w:r>
      <w:r w:rsidR="00197FBF">
        <w:rPr>
          <w:sz w:val="24"/>
        </w:rPr>
        <w:t>ai</w:t>
      </w:r>
      <w:r w:rsidR="00E83D37">
        <w:rPr>
          <w:sz w:val="24"/>
        </w:rPr>
        <w:t xml:space="preserve"> </w:t>
      </w:r>
      <w:r w:rsidR="00197FBF">
        <w:rPr>
          <w:sz w:val="24"/>
        </w:rPr>
        <w:t>trisdešimt</w:t>
      </w:r>
      <w:r w:rsidR="00100D0D">
        <w:rPr>
          <w:sz w:val="24"/>
        </w:rPr>
        <w:t xml:space="preserve"> </w:t>
      </w:r>
      <w:r w:rsidR="004030D8">
        <w:rPr>
          <w:sz w:val="24"/>
        </w:rPr>
        <w:t>eur</w:t>
      </w:r>
      <w:r w:rsidR="00100D0D">
        <w:rPr>
          <w:sz w:val="24"/>
        </w:rPr>
        <w:t>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w:t>
      </w:r>
      <w:r w:rsidR="00794B65" w:rsidRPr="00794B65">
        <w:rPr>
          <w:sz w:val="24"/>
          <w:szCs w:val="24"/>
        </w:rPr>
        <w:lastRenderedPageBreak/>
        <w:t>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5C52BC8"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D64F5">
        <w:rPr>
          <w:sz w:val="24"/>
          <w:szCs w:val="24"/>
        </w:rPr>
        <w:t>2</w:t>
      </w:r>
      <w:r w:rsidR="00475573">
        <w:rPr>
          <w:sz w:val="24"/>
          <w:szCs w:val="24"/>
        </w:rPr>
        <w:t>00</w:t>
      </w:r>
      <w:r w:rsidR="002D64F5">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5CE31613" w:rsidR="003A5A49" w:rsidRDefault="002D1E97" w:rsidP="00881CCA">
      <w:pPr>
        <w:ind w:firstLine="720"/>
        <w:jc w:val="both"/>
        <w:rPr>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C215EC" w:rsidRPr="008765DF">
        <w:rPr>
          <w:color w:val="000000"/>
          <w:sz w:val="24"/>
          <w:szCs w:val="24"/>
        </w:rPr>
        <w:t>(</w:t>
      </w:r>
      <w:r w:rsidR="00C215EC" w:rsidRPr="008765DF">
        <w:rPr>
          <w:i/>
          <w:iCs/>
          <w:color w:val="000000"/>
          <w:sz w:val="24"/>
          <w:szCs w:val="24"/>
        </w:rPr>
        <w:t>duomenys neskelbiami</w:t>
      </w:r>
      <w:r w:rsidR="00C215EC" w:rsidRPr="008765DF">
        <w:rPr>
          <w:color w:val="000000"/>
          <w:sz w:val="24"/>
          <w:szCs w:val="24"/>
        </w:rPr>
        <w:t>)</w:t>
      </w:r>
      <w:r w:rsidR="00C215EC">
        <w:rPr>
          <w:color w:val="000000"/>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45D8A36B"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C215EC" w:rsidRPr="008765DF">
        <w:rPr>
          <w:color w:val="000000"/>
          <w:sz w:val="24"/>
          <w:szCs w:val="24"/>
        </w:rPr>
        <w:t>(</w:t>
      </w:r>
      <w:r w:rsidR="00C215EC" w:rsidRPr="008765DF">
        <w:rPr>
          <w:i/>
          <w:iCs/>
          <w:color w:val="000000"/>
          <w:sz w:val="24"/>
          <w:szCs w:val="24"/>
        </w:rPr>
        <w:t>duomenys neskelbiami</w:t>
      </w:r>
      <w:r w:rsidR="00C215EC" w:rsidRPr="008765DF">
        <w:rPr>
          <w:color w:val="000000"/>
          <w:sz w:val="24"/>
          <w:szCs w:val="24"/>
        </w:rPr>
        <w:t>)</w:t>
      </w:r>
    </w:p>
    <w:p w14:paraId="0446B7C5" w14:textId="23020C60"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20A183D0"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6F4A7A3B"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17402811" w:rsidR="00B90BA8" w:rsidRPr="00A83037" w:rsidRDefault="00B90BA8" w:rsidP="00B90BA8">
      <w:pPr>
        <w:rPr>
          <w:sz w:val="24"/>
          <w:szCs w:val="24"/>
          <w:lang w:eastAsia="en-GB"/>
        </w:rPr>
      </w:pPr>
      <w:r w:rsidRPr="00A83037">
        <w:rPr>
          <w:sz w:val="24"/>
          <w:szCs w:val="24"/>
          <w:lang w:eastAsia="en-GB"/>
        </w:rPr>
        <w:t xml:space="preserve">„Swedbank“, AB bankas, kodas 73000                                                  </w:t>
      </w:r>
      <w:r w:rsidR="000011A6">
        <w:rPr>
          <w:sz w:val="24"/>
          <w:szCs w:val="24"/>
          <w:lang w:eastAsia="en-GB"/>
        </w:rPr>
        <w:t xml:space="preserve">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21F53535" w14:textId="007DCF9F" w:rsidR="009C14BB" w:rsidRDefault="00B90BA8" w:rsidP="00B90BA8">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903B02">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1B12B" w14:textId="77777777" w:rsidR="00F6378F" w:rsidRDefault="00F6378F">
      <w:r>
        <w:separator/>
      </w:r>
    </w:p>
  </w:endnote>
  <w:endnote w:type="continuationSeparator" w:id="0">
    <w:p w14:paraId="1171C107" w14:textId="77777777" w:rsidR="00F6378F" w:rsidRDefault="00F6378F">
      <w:r>
        <w:continuationSeparator/>
      </w:r>
    </w:p>
  </w:endnote>
  <w:endnote w:type="continuationNotice" w:id="1">
    <w:p w14:paraId="24968ECB" w14:textId="77777777" w:rsidR="00F6378F" w:rsidRDefault="00F6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FF55" w14:textId="77777777" w:rsidR="00F6378F" w:rsidRDefault="00F6378F">
      <w:r>
        <w:separator/>
      </w:r>
    </w:p>
  </w:footnote>
  <w:footnote w:type="continuationSeparator" w:id="0">
    <w:p w14:paraId="629A3353" w14:textId="77777777" w:rsidR="00F6378F" w:rsidRDefault="00F6378F">
      <w:r>
        <w:continuationSeparator/>
      </w:r>
    </w:p>
  </w:footnote>
  <w:footnote w:type="continuationNotice" w:id="1">
    <w:p w14:paraId="03FA1190" w14:textId="77777777" w:rsidR="00F6378F" w:rsidRDefault="00F6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11A6"/>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0D0D"/>
    <w:rsid w:val="001034B8"/>
    <w:rsid w:val="00104F5C"/>
    <w:rsid w:val="00106773"/>
    <w:rsid w:val="0011131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97FBF"/>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66E"/>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64F5"/>
    <w:rsid w:val="002D718E"/>
    <w:rsid w:val="002E27A9"/>
    <w:rsid w:val="002E2FC4"/>
    <w:rsid w:val="002E38EA"/>
    <w:rsid w:val="002F03C6"/>
    <w:rsid w:val="002F3002"/>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62DD"/>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57BD1"/>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433E"/>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93A"/>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5DF"/>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245E"/>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3B02"/>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28C4"/>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2F60"/>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15EC"/>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1F7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378F"/>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3.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5018</Words>
  <Characters>2861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2024-05-30T12:35:00Z</dcterms:created>
  <dcterms:modified xsi:type="dcterms:W3CDTF">2024-05-30T12:36:00Z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